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0C2C8B">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数学科学学院</w:t>
      </w:r>
      <w:r>
        <w:rPr>
          <w:rFonts w:hint="eastAsia" w:ascii="方正小标宋简体" w:hAnsi="方正小标宋简体" w:eastAsia="方正小标宋简体" w:cs="方正小标宋简体"/>
          <w:b w:val="0"/>
          <w:bCs w:val="0"/>
          <w:sz w:val="44"/>
          <w:szCs w:val="44"/>
          <w:lang w:val="en-US" w:eastAsia="zh-CN"/>
        </w:rPr>
        <w:t>2026年</w:t>
      </w:r>
      <w:r>
        <w:rPr>
          <w:rFonts w:hint="eastAsia" w:ascii="方正小标宋简体" w:hAnsi="方正小标宋简体" w:eastAsia="方正小标宋简体" w:cs="方正小标宋简体"/>
          <w:b w:val="0"/>
          <w:bCs w:val="0"/>
          <w:sz w:val="44"/>
          <w:szCs w:val="44"/>
        </w:rPr>
        <w:t>全日制</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rPr>
        <w:t>本科生转专业办法</w:t>
      </w:r>
    </w:p>
    <w:p w14:paraId="21539E31">
      <w:pPr>
        <w:spacing w:line="360" w:lineRule="auto"/>
        <w:jc w:val="both"/>
        <w:rPr>
          <w:rFonts w:hint="eastAsia" w:ascii="黑体" w:hAnsi="黑体" w:eastAsia="黑体" w:cs="黑体"/>
          <w:b/>
          <w:sz w:val="32"/>
          <w:szCs w:val="32"/>
        </w:rPr>
      </w:pPr>
      <w:r>
        <w:rPr>
          <w:rFonts w:hint="eastAsia" w:ascii="黑体" w:hAnsi="黑体" w:eastAsia="黑体" w:cs="黑体"/>
          <w:b/>
          <w:sz w:val="32"/>
          <w:szCs w:val="32"/>
        </w:rPr>
        <w:t>一、总则</w:t>
      </w:r>
    </w:p>
    <w:p w14:paraId="62D2B7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数学</w:t>
      </w:r>
      <w:r>
        <w:rPr>
          <w:rFonts w:hint="eastAsia" w:ascii="仿宋" w:hAnsi="仿宋" w:eastAsia="仿宋" w:cs="仿宋"/>
          <w:sz w:val="32"/>
          <w:szCs w:val="32"/>
          <w:lang w:val="en-US" w:eastAsia="zh-CN"/>
        </w:rPr>
        <w:t>科学</w:t>
      </w:r>
      <w:r>
        <w:rPr>
          <w:rFonts w:hint="eastAsia" w:ascii="仿宋" w:hAnsi="仿宋" w:eastAsia="仿宋" w:cs="仿宋"/>
          <w:sz w:val="32"/>
          <w:szCs w:val="32"/>
        </w:rPr>
        <w:t>学院</w:t>
      </w:r>
      <w:r>
        <w:rPr>
          <w:rFonts w:hint="eastAsia" w:ascii="仿宋" w:hAnsi="仿宋" w:eastAsia="仿宋" w:cs="仿宋"/>
          <w:sz w:val="32"/>
          <w:szCs w:val="32"/>
          <w:lang w:val="en-US" w:eastAsia="zh-CN"/>
        </w:rPr>
        <w:t>有</w:t>
      </w:r>
      <w:r>
        <w:rPr>
          <w:rFonts w:hint="eastAsia" w:ascii="仿宋" w:hAnsi="仿宋" w:eastAsia="仿宋" w:cs="仿宋"/>
          <w:sz w:val="32"/>
          <w:szCs w:val="32"/>
        </w:rPr>
        <w:t>数学与应用数学</w:t>
      </w:r>
      <w:r>
        <w:rPr>
          <w:rFonts w:hint="eastAsia" w:ascii="仿宋" w:hAnsi="仿宋" w:eastAsia="仿宋" w:cs="仿宋"/>
          <w:sz w:val="32"/>
          <w:szCs w:val="32"/>
          <w:lang w:eastAsia="zh-CN"/>
        </w:rPr>
        <w:t>、</w:t>
      </w:r>
      <w:r>
        <w:rPr>
          <w:rFonts w:hint="eastAsia" w:ascii="仿宋" w:hAnsi="仿宋" w:eastAsia="仿宋" w:cs="仿宋"/>
          <w:sz w:val="32"/>
          <w:szCs w:val="32"/>
        </w:rPr>
        <w:t>信息与计算科学两个专业（详情见人才培养计划）。为保证转专业工作的顺利实施，根据浙江省教育厅关于转专业的文件要求和浙江师范大学学生学籍管理、转专业等相关规定和办法，特制订</w:t>
      </w:r>
      <w:r>
        <w:rPr>
          <w:rFonts w:hint="eastAsia" w:ascii="仿宋" w:hAnsi="仿宋" w:eastAsia="仿宋" w:cs="仿宋"/>
          <w:sz w:val="32"/>
          <w:szCs w:val="32"/>
          <w:lang w:val="en-US" w:eastAsia="zh-CN"/>
        </w:rPr>
        <w:t>本学院</w:t>
      </w:r>
      <w:r>
        <w:rPr>
          <w:rFonts w:hint="eastAsia" w:ascii="仿宋" w:hAnsi="仿宋" w:eastAsia="仿宋" w:cs="仿宋"/>
          <w:sz w:val="32"/>
          <w:szCs w:val="32"/>
        </w:rPr>
        <w:t>全日制本科生转专业</w:t>
      </w:r>
      <w:r>
        <w:rPr>
          <w:rFonts w:hint="eastAsia" w:ascii="仿宋" w:hAnsi="仿宋" w:eastAsia="仿宋" w:cs="仿宋"/>
          <w:sz w:val="32"/>
          <w:szCs w:val="32"/>
          <w:lang w:val="en-US" w:eastAsia="zh-CN"/>
        </w:rPr>
        <w:t>办法</w:t>
      </w:r>
      <w:r>
        <w:rPr>
          <w:rFonts w:hint="eastAsia" w:ascii="仿宋" w:hAnsi="仿宋" w:eastAsia="仿宋" w:cs="仿宋"/>
          <w:sz w:val="32"/>
          <w:szCs w:val="32"/>
        </w:rPr>
        <w:t>。</w:t>
      </w:r>
    </w:p>
    <w:p w14:paraId="35B9BB1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转专业工作遵照“公平、公正、公开”原则进行，确保转专业工作的透明度和公正性。</w:t>
      </w:r>
      <w:r>
        <w:rPr>
          <w:rFonts w:hint="eastAsia" w:ascii="仿宋" w:hAnsi="仿宋" w:eastAsia="仿宋" w:cs="仿宋"/>
          <w:sz w:val="32"/>
          <w:szCs w:val="32"/>
          <w:lang w:val="en-US" w:eastAsia="zh-CN"/>
        </w:rPr>
        <w:t>学院</w:t>
      </w:r>
      <w:r>
        <w:rPr>
          <w:rFonts w:hint="eastAsia" w:ascii="仿宋" w:hAnsi="仿宋" w:eastAsia="仿宋" w:cs="仿宋"/>
          <w:sz w:val="32"/>
          <w:szCs w:val="32"/>
        </w:rPr>
        <w:t>成立转专业工作小组，具体人员名单由</w:t>
      </w:r>
      <w:r>
        <w:rPr>
          <w:rFonts w:hint="eastAsia" w:ascii="仿宋" w:hAnsi="仿宋" w:eastAsia="仿宋" w:cs="仿宋"/>
          <w:sz w:val="32"/>
          <w:szCs w:val="32"/>
          <w:lang w:val="en-US" w:eastAsia="zh-CN"/>
        </w:rPr>
        <w:t>本学院</w:t>
      </w:r>
      <w:r>
        <w:rPr>
          <w:rFonts w:hint="eastAsia" w:ascii="仿宋" w:hAnsi="仿宋" w:eastAsia="仿宋" w:cs="仿宋"/>
          <w:sz w:val="32"/>
          <w:szCs w:val="32"/>
        </w:rPr>
        <w:t>拟定。转专业工作小组负责相关工作的组织实施与监督。</w:t>
      </w:r>
    </w:p>
    <w:p w14:paraId="1DCE1B70">
      <w:pPr>
        <w:spacing w:line="360" w:lineRule="auto"/>
        <w:jc w:val="both"/>
        <w:rPr>
          <w:rFonts w:hint="eastAsia" w:ascii="黑体" w:hAnsi="黑体" w:eastAsia="黑体" w:cs="黑体"/>
          <w:b/>
          <w:sz w:val="32"/>
          <w:szCs w:val="32"/>
        </w:rPr>
      </w:pPr>
      <w:r>
        <w:rPr>
          <w:rFonts w:hint="eastAsia" w:ascii="黑体" w:hAnsi="黑体" w:eastAsia="黑体" w:cs="黑体"/>
          <w:b/>
          <w:sz w:val="32"/>
          <w:szCs w:val="32"/>
        </w:rPr>
        <w:t>二、转专业的对象</w:t>
      </w:r>
    </w:p>
    <w:p w14:paraId="63BB72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基本要求</w:t>
      </w:r>
    </w:p>
    <w:p w14:paraId="2879A5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申请转入数学与应用数学专业</w:t>
      </w:r>
      <w:r>
        <w:rPr>
          <w:rFonts w:hint="eastAsia" w:ascii="仿宋" w:hAnsi="仿宋" w:eastAsia="仿宋" w:cs="仿宋"/>
          <w:sz w:val="32"/>
          <w:szCs w:val="32"/>
          <w:lang w:eastAsia="zh-CN"/>
        </w:rPr>
        <w:t>、</w:t>
      </w:r>
      <w:r>
        <w:rPr>
          <w:rFonts w:hint="eastAsia" w:ascii="仿宋" w:hAnsi="仿宋" w:eastAsia="仿宋" w:cs="仿宋"/>
          <w:sz w:val="32"/>
          <w:szCs w:val="32"/>
        </w:rPr>
        <w:t>信息与计算科学</w:t>
      </w:r>
      <w:r>
        <w:rPr>
          <w:rFonts w:hint="eastAsia" w:ascii="仿宋" w:hAnsi="仿宋" w:eastAsia="仿宋" w:cs="仿宋"/>
          <w:sz w:val="32"/>
          <w:szCs w:val="32"/>
          <w:lang w:eastAsia="zh-CN"/>
        </w:rPr>
        <w:t>（</w:t>
      </w:r>
      <w:r>
        <w:rPr>
          <w:rFonts w:hint="eastAsia" w:ascii="仿宋" w:hAnsi="仿宋" w:eastAsia="仿宋" w:cs="仿宋"/>
          <w:sz w:val="32"/>
          <w:szCs w:val="32"/>
        </w:rPr>
        <w:t>数据科学及其应用</w:t>
      </w:r>
      <w:r>
        <w:rPr>
          <w:rFonts w:hint="eastAsia" w:ascii="仿宋" w:hAnsi="仿宋" w:eastAsia="仿宋" w:cs="仿宋"/>
          <w:sz w:val="32"/>
          <w:szCs w:val="32"/>
          <w:lang w:eastAsia="zh-CN"/>
        </w:rPr>
        <w:t>）</w:t>
      </w:r>
      <w:r>
        <w:rPr>
          <w:rFonts w:hint="eastAsia" w:ascii="仿宋" w:hAnsi="仿宋" w:eastAsia="仿宋" w:cs="仿宋"/>
          <w:sz w:val="32"/>
          <w:szCs w:val="32"/>
        </w:rPr>
        <w:t>专业的学生需符合学校教务处</w:t>
      </w:r>
      <w:r>
        <w:rPr>
          <w:rFonts w:hint="eastAsia" w:ascii="仿宋" w:hAnsi="仿宋" w:eastAsia="仿宋" w:cs="仿宋"/>
          <w:sz w:val="32"/>
          <w:szCs w:val="32"/>
          <w:lang w:eastAsia="zh-CN"/>
        </w:rPr>
        <w:t>《</w:t>
      </w:r>
      <w:r>
        <w:rPr>
          <w:rFonts w:hint="eastAsia" w:ascii="仿宋" w:hAnsi="仿宋" w:eastAsia="仿宋" w:cs="仿宋"/>
          <w:sz w:val="32"/>
          <w:szCs w:val="32"/>
        </w:rPr>
        <w:t>浙江师范大学全日制本科生转专业管理规定</w:t>
      </w:r>
      <w:r>
        <w:rPr>
          <w:rFonts w:hint="eastAsia" w:ascii="仿宋" w:hAnsi="仿宋" w:eastAsia="仿宋" w:cs="仿宋"/>
          <w:sz w:val="32"/>
          <w:szCs w:val="32"/>
          <w:lang w:eastAsia="zh-CN"/>
        </w:rPr>
        <w:t>》</w:t>
      </w:r>
      <w:r>
        <w:rPr>
          <w:rFonts w:hint="eastAsia" w:ascii="仿宋" w:hAnsi="仿宋" w:eastAsia="仿宋" w:cs="仿宋"/>
          <w:sz w:val="32"/>
          <w:szCs w:val="32"/>
        </w:rPr>
        <w:t>。</w:t>
      </w:r>
    </w:p>
    <w:p w14:paraId="51DD6C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转专业学生的</w:t>
      </w:r>
      <w:r>
        <w:rPr>
          <w:rFonts w:hint="eastAsia" w:ascii="仿宋" w:hAnsi="仿宋" w:eastAsia="仿宋" w:cs="仿宋"/>
          <w:sz w:val="32"/>
          <w:szCs w:val="32"/>
          <w:lang w:val="en-US" w:eastAsia="zh-CN"/>
        </w:rPr>
        <w:t>转入</w:t>
      </w:r>
      <w:r>
        <w:rPr>
          <w:rFonts w:hint="eastAsia" w:ascii="仿宋" w:hAnsi="仿宋" w:eastAsia="仿宋" w:cs="仿宋"/>
          <w:sz w:val="32"/>
          <w:szCs w:val="32"/>
        </w:rPr>
        <w:t>资格以学院教务办及上级部门的审核结果为准。</w:t>
      </w:r>
    </w:p>
    <w:p w14:paraId="3F9317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rPr>
        <w:t>具体转专业工作服从学校教务处统一安排。</w:t>
      </w:r>
    </w:p>
    <w:p w14:paraId="54CC67F9">
      <w:pPr>
        <w:spacing w:line="360" w:lineRule="auto"/>
        <w:jc w:val="both"/>
        <w:rPr>
          <w:rFonts w:hint="eastAsia" w:ascii="黑体" w:hAnsi="黑体" w:eastAsia="黑体" w:cs="黑体"/>
          <w:b/>
          <w:sz w:val="32"/>
          <w:szCs w:val="32"/>
        </w:rPr>
      </w:pPr>
      <w:r>
        <w:rPr>
          <w:rFonts w:hint="eastAsia" w:ascii="黑体" w:hAnsi="黑体" w:eastAsia="黑体" w:cs="黑体"/>
          <w:b/>
          <w:sz w:val="32"/>
          <w:szCs w:val="32"/>
        </w:rPr>
        <w:t>三、具体办法</w:t>
      </w:r>
    </w:p>
    <w:p w14:paraId="639D06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）申请转入</w:t>
      </w:r>
      <w:r>
        <w:rPr>
          <w:rFonts w:hint="eastAsia" w:ascii="仿宋" w:hAnsi="仿宋" w:eastAsia="仿宋" w:cs="仿宋"/>
          <w:sz w:val="32"/>
          <w:szCs w:val="32"/>
          <w:lang w:val="en-US" w:eastAsia="zh-CN"/>
        </w:rPr>
        <w:t>本学院</w:t>
      </w:r>
      <w:r>
        <w:rPr>
          <w:rFonts w:hint="eastAsia" w:ascii="仿宋" w:hAnsi="仿宋" w:eastAsia="仿宋" w:cs="仿宋"/>
          <w:sz w:val="32"/>
          <w:szCs w:val="32"/>
          <w:lang w:eastAsia="zh-CN"/>
        </w:rPr>
        <w:t>的学生需通过</w:t>
      </w:r>
      <w:r>
        <w:rPr>
          <w:rFonts w:hint="eastAsia" w:ascii="仿宋" w:hAnsi="仿宋" w:eastAsia="仿宋" w:cs="仿宋"/>
          <w:sz w:val="32"/>
          <w:szCs w:val="32"/>
          <w:lang w:val="en-US" w:eastAsia="zh-CN"/>
        </w:rPr>
        <w:t>相应</w:t>
      </w:r>
      <w:r>
        <w:rPr>
          <w:rFonts w:hint="eastAsia" w:ascii="仿宋" w:hAnsi="仿宋" w:eastAsia="仿宋" w:cs="仿宋"/>
          <w:sz w:val="32"/>
          <w:szCs w:val="32"/>
          <w:lang w:eastAsia="zh-CN"/>
        </w:rPr>
        <w:t>的转专业考核，考核由笔试与面试两部</w:t>
      </w:r>
      <w:r>
        <w:rPr>
          <w:rFonts w:hint="eastAsia" w:ascii="仿宋" w:hAnsi="仿宋" w:eastAsia="仿宋" w:cs="仿宋"/>
          <w:sz w:val="32"/>
          <w:szCs w:val="32"/>
          <w:lang w:val="en-US" w:eastAsia="zh-CN"/>
        </w:rPr>
        <w:t>分</w:t>
      </w:r>
      <w:r>
        <w:rPr>
          <w:rFonts w:hint="eastAsia" w:ascii="仿宋" w:hAnsi="仿宋" w:eastAsia="仿宋" w:cs="仿宋"/>
          <w:sz w:val="32"/>
          <w:szCs w:val="32"/>
          <w:lang w:eastAsia="zh-CN"/>
        </w:rPr>
        <w:t>构成。</w:t>
      </w:r>
      <w:r>
        <w:rPr>
          <w:rFonts w:hint="eastAsia" w:ascii="仿宋" w:hAnsi="仿宋" w:eastAsia="仿宋" w:cs="仿宋"/>
          <w:sz w:val="32"/>
          <w:szCs w:val="32"/>
          <w:lang w:val="en-US" w:eastAsia="zh-CN"/>
        </w:rPr>
        <w:t>具体见下表：</w:t>
      </w:r>
    </w:p>
    <w:tbl>
      <w:tblPr>
        <w:tblStyle w:val="5"/>
        <w:tblW w:w="5000" w:type="pct"/>
        <w:tblInd w:w="0" w:type="dxa"/>
        <w:tblLayout w:type="autofit"/>
        <w:tblCellMar>
          <w:top w:w="0" w:type="dxa"/>
          <w:left w:w="108" w:type="dxa"/>
          <w:bottom w:w="0" w:type="dxa"/>
          <w:right w:w="108" w:type="dxa"/>
        </w:tblCellMar>
      </w:tblPr>
      <w:tblGrid>
        <w:gridCol w:w="2223"/>
        <w:gridCol w:w="1124"/>
        <w:gridCol w:w="1366"/>
        <w:gridCol w:w="1470"/>
        <w:gridCol w:w="3070"/>
      </w:tblGrid>
      <w:tr w14:paraId="3AC4A788">
        <w:tblPrEx>
          <w:tblCellMar>
            <w:top w:w="0" w:type="dxa"/>
            <w:left w:w="108" w:type="dxa"/>
            <w:bottom w:w="0" w:type="dxa"/>
            <w:right w:w="108" w:type="dxa"/>
          </w:tblCellMar>
        </w:tblPrEx>
        <w:trPr>
          <w:trHeight w:val="600" w:hRule="atLeast"/>
        </w:trPr>
        <w:tc>
          <w:tcPr>
            <w:tcW w:w="1201" w:type="pct"/>
            <w:tcBorders>
              <w:top w:val="single" w:color="auto" w:sz="4" w:space="0"/>
              <w:left w:val="single" w:color="auto" w:sz="4" w:space="0"/>
              <w:bottom w:val="single" w:color="auto" w:sz="4" w:space="0"/>
              <w:right w:val="single" w:color="auto" w:sz="4" w:space="0"/>
            </w:tcBorders>
            <w:noWrap w:val="0"/>
            <w:vAlign w:val="center"/>
          </w:tcPr>
          <w:p w14:paraId="77EB68A9">
            <w:pPr>
              <w:widowControl/>
              <w:jc w:val="center"/>
              <w:rPr>
                <w:rFonts w:hint="eastAsia" w:ascii="仿宋" w:hAnsi="仿宋" w:eastAsia="仿宋" w:cs="仿宋"/>
                <w:b/>
                <w:bCs/>
                <w:sz w:val="28"/>
                <w:szCs w:val="28"/>
              </w:rPr>
            </w:pPr>
            <w:r>
              <w:rPr>
                <w:rFonts w:hint="eastAsia" w:ascii="仿宋" w:hAnsi="仿宋" w:eastAsia="仿宋" w:cs="仿宋"/>
                <w:b/>
                <w:bCs/>
                <w:sz w:val="28"/>
                <w:szCs w:val="28"/>
              </w:rPr>
              <w:t>专业名称</w:t>
            </w:r>
          </w:p>
        </w:tc>
        <w:tc>
          <w:tcPr>
            <w:tcW w:w="607" w:type="pct"/>
            <w:tcBorders>
              <w:top w:val="single" w:color="auto" w:sz="4" w:space="0"/>
              <w:left w:val="nil"/>
              <w:bottom w:val="single" w:color="auto" w:sz="4" w:space="0"/>
              <w:right w:val="single" w:color="auto" w:sz="4" w:space="0"/>
            </w:tcBorders>
            <w:noWrap w:val="0"/>
            <w:vAlign w:val="center"/>
          </w:tcPr>
          <w:p w14:paraId="24737CB3">
            <w:pPr>
              <w:widowControl/>
              <w:jc w:val="center"/>
              <w:rPr>
                <w:rFonts w:hint="eastAsia" w:ascii="仿宋" w:hAnsi="仿宋" w:eastAsia="仿宋" w:cs="仿宋"/>
                <w:b/>
                <w:bCs/>
                <w:sz w:val="28"/>
                <w:szCs w:val="28"/>
              </w:rPr>
            </w:pPr>
            <w:r>
              <w:rPr>
                <w:rFonts w:hint="eastAsia" w:ascii="仿宋" w:hAnsi="仿宋" w:eastAsia="仿宋" w:cs="仿宋"/>
                <w:b/>
                <w:bCs/>
                <w:sz w:val="28"/>
                <w:szCs w:val="28"/>
              </w:rPr>
              <w:t>类别</w:t>
            </w:r>
          </w:p>
        </w:tc>
        <w:tc>
          <w:tcPr>
            <w:tcW w:w="738" w:type="pct"/>
            <w:tcBorders>
              <w:top w:val="single" w:color="auto" w:sz="4" w:space="0"/>
              <w:left w:val="nil"/>
              <w:bottom w:val="single" w:color="auto" w:sz="4" w:space="0"/>
              <w:right w:val="single" w:color="auto" w:sz="4" w:space="0"/>
            </w:tcBorders>
            <w:noWrap w:val="0"/>
            <w:vAlign w:val="center"/>
          </w:tcPr>
          <w:p w14:paraId="27213C7B">
            <w:pPr>
              <w:widowControl/>
              <w:jc w:val="center"/>
              <w:rPr>
                <w:rFonts w:hint="eastAsia" w:ascii="仿宋" w:hAnsi="仿宋" w:eastAsia="仿宋" w:cs="仿宋"/>
                <w:b/>
                <w:bCs/>
                <w:sz w:val="28"/>
                <w:szCs w:val="28"/>
              </w:rPr>
            </w:pPr>
            <w:r>
              <w:rPr>
                <w:rFonts w:hint="eastAsia" w:ascii="仿宋" w:hAnsi="仿宋" w:eastAsia="仿宋" w:cs="仿宋"/>
                <w:b/>
                <w:bCs/>
                <w:sz w:val="28"/>
                <w:szCs w:val="28"/>
              </w:rPr>
              <w:t>年级</w:t>
            </w:r>
          </w:p>
        </w:tc>
        <w:tc>
          <w:tcPr>
            <w:tcW w:w="794" w:type="pct"/>
            <w:tcBorders>
              <w:top w:val="single" w:color="auto" w:sz="4" w:space="0"/>
              <w:left w:val="nil"/>
              <w:bottom w:val="single" w:color="auto" w:sz="4" w:space="0"/>
              <w:right w:val="single" w:color="auto" w:sz="4" w:space="0"/>
            </w:tcBorders>
            <w:noWrap w:val="0"/>
            <w:vAlign w:val="center"/>
          </w:tcPr>
          <w:p w14:paraId="15AD5818">
            <w:pPr>
              <w:widowControl/>
              <w:jc w:val="center"/>
              <w:rPr>
                <w:rFonts w:hint="eastAsia" w:ascii="仿宋" w:hAnsi="仿宋" w:eastAsia="仿宋" w:cs="仿宋"/>
                <w:b/>
                <w:bCs/>
                <w:sz w:val="28"/>
                <w:szCs w:val="28"/>
              </w:rPr>
            </w:pPr>
            <w:r>
              <w:rPr>
                <w:rFonts w:hint="eastAsia" w:ascii="仿宋" w:hAnsi="仿宋" w:eastAsia="仿宋" w:cs="仿宋"/>
                <w:b/>
                <w:bCs/>
                <w:sz w:val="28"/>
                <w:szCs w:val="28"/>
              </w:rPr>
              <w:t>接收人数</w:t>
            </w:r>
          </w:p>
        </w:tc>
        <w:tc>
          <w:tcPr>
            <w:tcW w:w="1658" w:type="pct"/>
            <w:tcBorders>
              <w:top w:val="single" w:color="auto" w:sz="4" w:space="0"/>
              <w:left w:val="nil"/>
              <w:bottom w:val="single" w:color="auto" w:sz="4" w:space="0"/>
              <w:right w:val="single" w:color="auto" w:sz="4" w:space="0"/>
            </w:tcBorders>
            <w:noWrap w:val="0"/>
            <w:vAlign w:val="center"/>
          </w:tcPr>
          <w:p w14:paraId="767BE675">
            <w:pPr>
              <w:widowControl/>
              <w:jc w:val="center"/>
              <w:rPr>
                <w:rFonts w:hint="eastAsia" w:ascii="仿宋" w:hAnsi="仿宋" w:eastAsia="仿宋" w:cs="仿宋"/>
                <w:b/>
                <w:bCs/>
                <w:sz w:val="28"/>
                <w:szCs w:val="28"/>
              </w:rPr>
            </w:pPr>
            <w:r>
              <w:rPr>
                <w:rFonts w:hint="eastAsia" w:ascii="仿宋" w:hAnsi="仿宋" w:eastAsia="仿宋" w:cs="仿宋"/>
                <w:b/>
                <w:bCs/>
                <w:sz w:val="28"/>
                <w:szCs w:val="28"/>
              </w:rPr>
              <w:t>考核形式</w:t>
            </w:r>
          </w:p>
        </w:tc>
      </w:tr>
      <w:tr w14:paraId="2FA9DF52">
        <w:tblPrEx>
          <w:tblCellMar>
            <w:top w:w="0" w:type="dxa"/>
            <w:left w:w="108" w:type="dxa"/>
            <w:bottom w:w="0" w:type="dxa"/>
            <w:right w:w="108" w:type="dxa"/>
          </w:tblCellMar>
        </w:tblPrEx>
        <w:trPr>
          <w:trHeight w:val="600" w:hRule="atLeast"/>
        </w:trPr>
        <w:tc>
          <w:tcPr>
            <w:tcW w:w="1201" w:type="pct"/>
            <w:tcBorders>
              <w:top w:val="single" w:color="auto" w:sz="4" w:space="0"/>
              <w:left w:val="single" w:color="auto" w:sz="4" w:space="0"/>
              <w:bottom w:val="single" w:color="auto" w:sz="4" w:space="0"/>
              <w:right w:val="single" w:color="auto" w:sz="4" w:space="0"/>
            </w:tcBorders>
            <w:noWrap w:val="0"/>
            <w:vAlign w:val="center"/>
          </w:tcPr>
          <w:p w14:paraId="29D9A457">
            <w:pPr>
              <w:widowControl/>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数学与应用数学</w:t>
            </w:r>
          </w:p>
        </w:tc>
        <w:tc>
          <w:tcPr>
            <w:tcW w:w="607" w:type="pct"/>
            <w:tcBorders>
              <w:top w:val="single" w:color="auto" w:sz="4" w:space="0"/>
              <w:left w:val="nil"/>
              <w:bottom w:val="single" w:color="auto" w:sz="4" w:space="0"/>
              <w:right w:val="single" w:color="auto" w:sz="4" w:space="0"/>
            </w:tcBorders>
            <w:noWrap w:val="0"/>
            <w:vAlign w:val="center"/>
          </w:tcPr>
          <w:p w14:paraId="2858E074">
            <w:pPr>
              <w:widowControl/>
              <w:jc w:val="center"/>
              <w:rPr>
                <w:rFonts w:hint="eastAsia" w:ascii="仿宋" w:hAnsi="仿宋" w:eastAsia="仿宋" w:cs="仿宋"/>
                <w:sz w:val="28"/>
                <w:szCs w:val="28"/>
              </w:rPr>
            </w:pPr>
            <w:r>
              <w:rPr>
                <w:rFonts w:hint="eastAsia" w:ascii="仿宋" w:hAnsi="仿宋" w:eastAsia="仿宋" w:cs="仿宋"/>
                <w:sz w:val="28"/>
                <w:szCs w:val="28"/>
              </w:rPr>
              <w:t>师范</w:t>
            </w:r>
          </w:p>
        </w:tc>
        <w:tc>
          <w:tcPr>
            <w:tcW w:w="738" w:type="pct"/>
            <w:tcBorders>
              <w:top w:val="single" w:color="auto" w:sz="4" w:space="0"/>
              <w:left w:val="nil"/>
              <w:bottom w:val="single" w:color="auto" w:sz="4" w:space="0"/>
              <w:right w:val="single" w:color="auto" w:sz="4" w:space="0"/>
            </w:tcBorders>
            <w:noWrap w:val="0"/>
            <w:vAlign w:val="center"/>
          </w:tcPr>
          <w:p w14:paraId="3FED925E">
            <w:pPr>
              <w:widowControl/>
              <w:jc w:val="center"/>
              <w:rPr>
                <w:rFonts w:hint="default" w:ascii="仿宋" w:hAnsi="仿宋" w:eastAsia="仿宋" w:cs="仿宋"/>
                <w:sz w:val="28"/>
                <w:szCs w:val="28"/>
                <w:lang w:val="en-US" w:eastAsia="zh-CN"/>
              </w:rPr>
            </w:pPr>
            <w:r>
              <w:rPr>
                <w:rFonts w:hint="eastAsia" w:ascii="仿宋" w:hAnsi="仿宋" w:eastAsia="仿宋" w:cs="仿宋"/>
                <w:sz w:val="28"/>
                <w:szCs w:val="28"/>
              </w:rPr>
              <w:t>20</w:t>
            </w:r>
            <w:r>
              <w:rPr>
                <w:rFonts w:hint="eastAsia" w:ascii="仿宋" w:hAnsi="仿宋" w:eastAsia="仿宋" w:cs="仿宋"/>
                <w:sz w:val="28"/>
                <w:szCs w:val="28"/>
                <w:lang w:val="en-US" w:eastAsia="zh-CN"/>
              </w:rPr>
              <w:t>24</w:t>
            </w:r>
          </w:p>
          <w:p w14:paraId="34BE8166">
            <w:pPr>
              <w:widowControl/>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w:t>
            </w:r>
          </w:p>
        </w:tc>
        <w:tc>
          <w:tcPr>
            <w:tcW w:w="794" w:type="pct"/>
            <w:tcBorders>
              <w:top w:val="single" w:color="auto" w:sz="4" w:space="0"/>
              <w:left w:val="nil"/>
              <w:bottom w:val="single" w:color="auto" w:sz="4" w:space="0"/>
              <w:right w:val="single" w:color="auto" w:sz="4" w:space="0"/>
            </w:tcBorders>
            <w:noWrap w:val="0"/>
            <w:vAlign w:val="center"/>
          </w:tcPr>
          <w:p w14:paraId="0E9CC862">
            <w:pPr>
              <w:widowControl/>
              <w:jc w:val="center"/>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24</w:t>
            </w:r>
          </w:p>
        </w:tc>
        <w:tc>
          <w:tcPr>
            <w:tcW w:w="1658" w:type="pct"/>
            <w:tcBorders>
              <w:top w:val="single" w:color="auto" w:sz="4" w:space="0"/>
              <w:left w:val="nil"/>
              <w:bottom w:val="single" w:color="auto" w:sz="4" w:space="0"/>
              <w:right w:val="single" w:color="auto" w:sz="4" w:space="0"/>
            </w:tcBorders>
            <w:noWrap w:val="0"/>
            <w:vAlign w:val="center"/>
          </w:tcPr>
          <w:p w14:paraId="3C134E2B">
            <w:pPr>
              <w:widowControl/>
              <w:rPr>
                <w:rFonts w:hint="eastAsia" w:ascii="仿宋" w:hAnsi="仿宋" w:eastAsia="仿宋" w:cs="仿宋"/>
                <w:sz w:val="28"/>
                <w:szCs w:val="28"/>
              </w:rPr>
            </w:pPr>
            <w:r>
              <w:rPr>
                <w:rFonts w:hint="eastAsia" w:ascii="仿宋" w:hAnsi="仿宋" w:eastAsia="仿宋" w:cs="仿宋"/>
                <w:sz w:val="28"/>
                <w:szCs w:val="28"/>
                <w:highlight w:val="none"/>
              </w:rPr>
              <w:t>笔试+面试，笔试成绩前</w:t>
            </w:r>
            <w:r>
              <w:rPr>
                <w:rFonts w:hint="eastAsia" w:ascii="仿宋" w:hAnsi="仿宋" w:eastAsia="仿宋" w:cs="仿宋"/>
                <w:sz w:val="28"/>
                <w:szCs w:val="28"/>
                <w:highlight w:val="none"/>
                <w:lang w:val="en-US" w:eastAsia="zh-CN"/>
              </w:rPr>
              <w:t>29</w:t>
            </w:r>
            <w:r>
              <w:rPr>
                <w:rFonts w:hint="eastAsia" w:ascii="仿宋" w:hAnsi="仿宋" w:eastAsia="仿宋" w:cs="仿宋"/>
                <w:sz w:val="28"/>
                <w:szCs w:val="28"/>
                <w:highlight w:val="none"/>
              </w:rPr>
              <w:t>名（含）进入面试。</w:t>
            </w:r>
          </w:p>
        </w:tc>
      </w:tr>
      <w:tr w14:paraId="05254345">
        <w:tblPrEx>
          <w:tblCellMar>
            <w:top w:w="0" w:type="dxa"/>
            <w:left w:w="108" w:type="dxa"/>
            <w:bottom w:w="0" w:type="dxa"/>
            <w:right w:w="108" w:type="dxa"/>
          </w:tblCellMar>
        </w:tblPrEx>
        <w:trPr>
          <w:trHeight w:val="600" w:hRule="atLeast"/>
        </w:trPr>
        <w:tc>
          <w:tcPr>
            <w:tcW w:w="1201" w:type="pct"/>
            <w:tcBorders>
              <w:top w:val="nil"/>
              <w:left w:val="single" w:color="auto" w:sz="4" w:space="0"/>
              <w:bottom w:val="single" w:color="auto" w:sz="4" w:space="0"/>
              <w:right w:val="single" w:color="auto" w:sz="4" w:space="0"/>
            </w:tcBorders>
            <w:noWrap w:val="0"/>
            <w:vAlign w:val="center"/>
          </w:tcPr>
          <w:p w14:paraId="0CD47541">
            <w:pPr>
              <w:widowControl/>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信息与计算科学</w:t>
            </w:r>
          </w:p>
        </w:tc>
        <w:tc>
          <w:tcPr>
            <w:tcW w:w="607" w:type="pct"/>
            <w:tcBorders>
              <w:top w:val="nil"/>
              <w:left w:val="nil"/>
              <w:bottom w:val="single" w:color="auto" w:sz="4" w:space="0"/>
              <w:right w:val="single" w:color="auto" w:sz="4" w:space="0"/>
            </w:tcBorders>
            <w:noWrap w:val="0"/>
            <w:vAlign w:val="center"/>
          </w:tcPr>
          <w:p w14:paraId="144396F9">
            <w:pPr>
              <w:widowControl/>
              <w:jc w:val="center"/>
              <w:rPr>
                <w:rFonts w:hint="eastAsia" w:ascii="仿宋" w:hAnsi="仿宋" w:eastAsia="仿宋" w:cs="仿宋"/>
                <w:sz w:val="28"/>
                <w:szCs w:val="28"/>
              </w:rPr>
            </w:pPr>
            <w:r>
              <w:rPr>
                <w:rFonts w:hint="eastAsia" w:ascii="仿宋" w:hAnsi="仿宋" w:eastAsia="仿宋" w:cs="仿宋"/>
                <w:sz w:val="28"/>
                <w:szCs w:val="28"/>
              </w:rPr>
              <w:t>非师范</w:t>
            </w:r>
          </w:p>
        </w:tc>
        <w:tc>
          <w:tcPr>
            <w:tcW w:w="738" w:type="pct"/>
            <w:tcBorders>
              <w:top w:val="nil"/>
              <w:left w:val="nil"/>
              <w:bottom w:val="single" w:color="auto" w:sz="4" w:space="0"/>
              <w:right w:val="single" w:color="auto" w:sz="4" w:space="0"/>
            </w:tcBorders>
            <w:noWrap w:val="0"/>
            <w:vAlign w:val="center"/>
          </w:tcPr>
          <w:p w14:paraId="521039AF">
            <w:pPr>
              <w:widowControl/>
              <w:jc w:val="center"/>
              <w:rPr>
                <w:rFonts w:hint="eastAsia" w:ascii="仿宋" w:hAnsi="仿宋" w:eastAsia="仿宋" w:cs="仿宋"/>
                <w:sz w:val="28"/>
                <w:szCs w:val="28"/>
                <w:lang w:val="en-US" w:eastAsia="zh-CN"/>
              </w:rPr>
            </w:pPr>
            <w:r>
              <w:rPr>
                <w:rFonts w:hint="eastAsia" w:ascii="仿宋" w:hAnsi="仿宋" w:eastAsia="仿宋" w:cs="仿宋"/>
                <w:sz w:val="28"/>
                <w:szCs w:val="28"/>
              </w:rPr>
              <w:t>20</w:t>
            </w:r>
            <w:r>
              <w:rPr>
                <w:rFonts w:hint="eastAsia" w:ascii="仿宋" w:hAnsi="仿宋" w:eastAsia="仿宋" w:cs="仿宋"/>
                <w:sz w:val="28"/>
                <w:szCs w:val="28"/>
                <w:lang w:val="en-US" w:eastAsia="zh-CN"/>
              </w:rPr>
              <w:t>24</w:t>
            </w:r>
          </w:p>
          <w:p w14:paraId="7A1708CD">
            <w:pPr>
              <w:widowControl/>
              <w:jc w:val="center"/>
              <w:rPr>
                <w:rFonts w:hint="eastAsia" w:ascii="仿宋" w:hAnsi="仿宋" w:eastAsia="仿宋" w:cs="仿宋"/>
                <w:sz w:val="28"/>
                <w:szCs w:val="28"/>
              </w:rPr>
            </w:pPr>
            <w:r>
              <w:rPr>
                <w:rFonts w:hint="eastAsia" w:ascii="仿宋" w:hAnsi="仿宋" w:eastAsia="仿宋" w:cs="仿宋"/>
                <w:sz w:val="28"/>
                <w:szCs w:val="28"/>
                <w:lang w:val="en-US" w:eastAsia="zh-CN"/>
              </w:rPr>
              <w:t>2025</w:t>
            </w:r>
          </w:p>
        </w:tc>
        <w:tc>
          <w:tcPr>
            <w:tcW w:w="794" w:type="pct"/>
            <w:tcBorders>
              <w:top w:val="nil"/>
              <w:left w:val="nil"/>
              <w:bottom w:val="single" w:color="auto" w:sz="4" w:space="0"/>
              <w:right w:val="single" w:color="auto" w:sz="4" w:space="0"/>
            </w:tcBorders>
            <w:noWrap w:val="0"/>
            <w:vAlign w:val="center"/>
          </w:tcPr>
          <w:p w14:paraId="71B791EE">
            <w:pPr>
              <w:widowControl/>
              <w:jc w:val="center"/>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5</w:t>
            </w:r>
          </w:p>
        </w:tc>
        <w:tc>
          <w:tcPr>
            <w:tcW w:w="1658" w:type="pct"/>
            <w:tcBorders>
              <w:top w:val="nil"/>
              <w:left w:val="nil"/>
              <w:bottom w:val="single" w:color="auto" w:sz="4" w:space="0"/>
              <w:right w:val="single" w:color="auto" w:sz="4" w:space="0"/>
            </w:tcBorders>
            <w:noWrap w:val="0"/>
            <w:vAlign w:val="center"/>
          </w:tcPr>
          <w:p w14:paraId="038DABBE">
            <w:pPr>
              <w:widowControl/>
              <w:rPr>
                <w:rFonts w:hint="eastAsia" w:ascii="仿宋" w:hAnsi="仿宋" w:eastAsia="仿宋" w:cs="仿宋"/>
                <w:sz w:val="28"/>
                <w:szCs w:val="28"/>
              </w:rPr>
            </w:pPr>
            <w:r>
              <w:rPr>
                <w:rFonts w:hint="eastAsia" w:ascii="仿宋" w:hAnsi="仿宋" w:eastAsia="仿宋" w:cs="仿宋"/>
                <w:sz w:val="28"/>
                <w:szCs w:val="28"/>
                <w:highlight w:val="none"/>
              </w:rPr>
              <w:t>笔试+面试，笔试成绩前</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名（含）进入面试。</w:t>
            </w:r>
          </w:p>
        </w:tc>
      </w:tr>
    </w:tbl>
    <w:p w14:paraId="757116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p>
    <w:p w14:paraId="4B06B9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根据数学类专业课程的特殊性，要求学生有较好的基本数学基础。鉴于此，笔试主要考查学生微积分的基本理论掌握情况。转专业工作小组委托专业教师出题、阅卷。参考书目：</w:t>
      </w:r>
      <w:r>
        <w:rPr>
          <w:rFonts w:hint="eastAsia" w:ascii="仿宋" w:hAnsi="仿宋" w:eastAsia="仿宋" w:cs="仿宋"/>
          <w:sz w:val="32"/>
          <w:szCs w:val="32"/>
          <w:highlight w:val="none"/>
          <w:lang w:eastAsia="zh-CN"/>
        </w:rPr>
        <w:t>《高等数学》第</w:t>
      </w:r>
      <w:r>
        <w:rPr>
          <w:rFonts w:hint="eastAsia" w:ascii="仿宋" w:hAnsi="仿宋" w:eastAsia="仿宋" w:cs="仿宋"/>
          <w:sz w:val="32"/>
          <w:szCs w:val="32"/>
          <w:highlight w:val="none"/>
          <w:lang w:val="en-US" w:eastAsia="zh-CN"/>
        </w:rPr>
        <w:t>八</w:t>
      </w:r>
      <w:r>
        <w:rPr>
          <w:rFonts w:hint="eastAsia" w:ascii="仿宋" w:hAnsi="仿宋" w:eastAsia="仿宋" w:cs="仿宋"/>
          <w:sz w:val="32"/>
          <w:szCs w:val="32"/>
          <w:highlight w:val="none"/>
          <w:lang w:eastAsia="zh-CN"/>
        </w:rPr>
        <w:t>版（上下册）</w:t>
      </w:r>
      <w:r>
        <w:rPr>
          <w:rFonts w:hint="eastAsia" w:ascii="仿宋" w:hAnsi="仿宋" w:eastAsia="仿宋" w:cs="仿宋"/>
          <w:sz w:val="32"/>
          <w:szCs w:val="32"/>
          <w:lang w:eastAsia="zh-CN"/>
        </w:rPr>
        <w:t>，同济大学数学系编，高等教育出版社。</w:t>
      </w:r>
    </w:p>
    <w:p w14:paraId="1CAB808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笔试成绩</w:t>
      </w:r>
      <w:r>
        <w:rPr>
          <w:rFonts w:hint="eastAsia" w:ascii="仿宋" w:hAnsi="仿宋" w:eastAsia="仿宋" w:cs="仿宋"/>
          <w:color w:val="auto"/>
          <w:sz w:val="32"/>
          <w:szCs w:val="32"/>
          <w:lang w:val="en-US" w:eastAsia="zh-CN"/>
        </w:rPr>
        <w:t>按申请转入专业</w:t>
      </w:r>
      <w:r>
        <w:rPr>
          <w:rFonts w:hint="eastAsia" w:ascii="仿宋" w:hAnsi="仿宋" w:eastAsia="仿宋" w:cs="仿宋"/>
          <w:color w:val="auto"/>
          <w:sz w:val="32"/>
          <w:szCs w:val="32"/>
          <w:lang w:eastAsia="zh-CN"/>
        </w:rPr>
        <w:t>进行排名，</w:t>
      </w:r>
      <w:r>
        <w:rPr>
          <w:rFonts w:hint="eastAsia" w:ascii="仿宋" w:hAnsi="仿宋" w:eastAsia="仿宋" w:cs="仿宋"/>
          <w:color w:val="auto"/>
          <w:sz w:val="32"/>
          <w:szCs w:val="32"/>
          <w:lang w:val="en-US" w:eastAsia="zh-CN"/>
        </w:rPr>
        <w:t>最终</w:t>
      </w:r>
      <w:r>
        <w:rPr>
          <w:rFonts w:hint="eastAsia" w:ascii="仿宋" w:hAnsi="仿宋" w:eastAsia="仿宋" w:cs="仿宋"/>
          <w:color w:val="auto"/>
          <w:sz w:val="32"/>
          <w:szCs w:val="32"/>
          <w:lang w:eastAsia="zh-CN"/>
        </w:rPr>
        <w:t>进入面试人数以学校文件公布数字为准。</w:t>
      </w:r>
    </w:p>
    <w:p w14:paraId="2AD7C1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面试安排在笔试后。面试由转专业工作小组委托专业教师成立面试小组，面试内容是师范技能与数学素养，</w:t>
      </w:r>
      <w:r>
        <w:rPr>
          <w:rFonts w:hint="eastAsia" w:ascii="仿宋" w:hAnsi="仿宋" w:eastAsia="仿宋" w:cs="仿宋"/>
          <w:sz w:val="32"/>
          <w:szCs w:val="32"/>
          <w:highlight w:val="none"/>
          <w:lang w:val="en-US" w:eastAsia="zh-CN"/>
        </w:rPr>
        <w:t>面试流程包含（1）自我介绍；（2）现场抽题、做题并讲解；（3）提问环节三个部分。</w:t>
      </w:r>
      <w:r>
        <w:rPr>
          <w:rFonts w:hint="eastAsia" w:ascii="仿宋" w:hAnsi="仿宋" w:eastAsia="仿宋" w:cs="仿宋"/>
          <w:sz w:val="32"/>
          <w:szCs w:val="32"/>
          <w:lang w:eastAsia="zh-CN"/>
        </w:rPr>
        <w:t>面试小组的成员为5—</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人，面试小组成员对每一名面试考生单独打分（百分制），</w:t>
      </w:r>
      <w:r>
        <w:rPr>
          <w:rFonts w:hint="eastAsia" w:ascii="仿宋" w:hAnsi="仿宋" w:eastAsia="仿宋" w:cs="仿宋"/>
          <w:sz w:val="32"/>
          <w:szCs w:val="32"/>
          <w:lang w:val="en-US" w:eastAsia="zh-CN"/>
        </w:rPr>
        <w:t>面试规则详见附件1-1</w:t>
      </w:r>
      <w:r>
        <w:rPr>
          <w:rFonts w:hint="eastAsia" w:ascii="仿宋" w:hAnsi="仿宋" w:eastAsia="仿宋" w:cs="仿宋"/>
          <w:sz w:val="32"/>
          <w:szCs w:val="32"/>
          <w:lang w:eastAsia="zh-CN"/>
        </w:rPr>
        <w:t>。</w:t>
      </w:r>
    </w:p>
    <w:p w14:paraId="1363DB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考核成绩计算办法：考核成绩＝笔试成绩*30%+面试成绩*70%，其中，面试成绩取平均分。录取办法：考核合格（考核成绩≥60分），择优录取，</w:t>
      </w:r>
      <w:r>
        <w:rPr>
          <w:rFonts w:hint="eastAsia" w:ascii="仿宋" w:hAnsi="仿宋" w:eastAsia="仿宋" w:cs="仿宋"/>
          <w:sz w:val="32"/>
          <w:szCs w:val="32"/>
          <w:lang w:val="en-US" w:eastAsia="zh-CN"/>
        </w:rPr>
        <w:t>其中</w:t>
      </w:r>
      <w:r>
        <w:rPr>
          <w:rFonts w:hint="eastAsia" w:ascii="仿宋" w:hAnsi="仿宋" w:eastAsia="仿宋" w:cs="仿宋"/>
          <w:sz w:val="32"/>
          <w:szCs w:val="32"/>
          <w:lang w:eastAsia="zh-CN"/>
        </w:rPr>
        <w:t>面试不合格者（平均分小于60分）不予录取。</w:t>
      </w:r>
    </w:p>
    <w:p w14:paraId="7011F67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在不超过学校下达计划数的前提下，由转专业工作小组根据考核成绩确定拟录取名单报学院教务办。</w:t>
      </w:r>
    </w:p>
    <w:p w14:paraId="303EE1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转专业拟录取名单经学院</w:t>
      </w:r>
      <w:r>
        <w:rPr>
          <w:rFonts w:hint="eastAsia" w:ascii="仿宋" w:hAnsi="仿宋" w:eastAsia="仿宋" w:cs="仿宋"/>
          <w:sz w:val="32"/>
          <w:szCs w:val="32"/>
          <w:lang w:val="en-US" w:eastAsia="zh-CN"/>
        </w:rPr>
        <w:t>转专业工作领导小组审议后</w:t>
      </w:r>
      <w:r>
        <w:rPr>
          <w:rFonts w:hint="eastAsia" w:ascii="仿宋" w:hAnsi="仿宋" w:eastAsia="仿宋" w:cs="仿宋"/>
          <w:sz w:val="32"/>
          <w:szCs w:val="32"/>
          <w:lang w:eastAsia="zh-CN"/>
        </w:rPr>
        <w:t>上报学校教务处，</w:t>
      </w:r>
      <w:r>
        <w:rPr>
          <w:rFonts w:hint="eastAsia" w:ascii="仿宋" w:hAnsi="仿宋" w:eastAsia="仿宋" w:cs="仿宋"/>
          <w:sz w:val="32"/>
          <w:szCs w:val="32"/>
          <w:lang w:val="en-US" w:eastAsia="zh-CN"/>
        </w:rPr>
        <w:t>由学校教务处统一公示公布</w:t>
      </w:r>
      <w:r>
        <w:rPr>
          <w:rFonts w:hint="eastAsia" w:ascii="仿宋" w:hAnsi="仿宋" w:eastAsia="仿宋" w:cs="仿宋"/>
          <w:sz w:val="32"/>
          <w:szCs w:val="32"/>
          <w:lang w:eastAsia="zh-CN"/>
        </w:rPr>
        <w:t>。</w:t>
      </w:r>
    </w:p>
    <w:p w14:paraId="20B5B2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考核安排</w:t>
      </w:r>
    </w:p>
    <w:p w14:paraId="06B107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1.笔试：</w:t>
      </w:r>
    </w:p>
    <w:p w14:paraId="010BF9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highlight w:val="none"/>
          <w:lang w:val="en-US" w:eastAsia="zh-CN"/>
        </w:rPr>
      </w:pPr>
      <w:r>
        <w:rPr>
          <w:rFonts w:hint="eastAsia" w:ascii="仿宋" w:hAnsi="仿宋" w:eastAsia="仿宋" w:cs="仿宋"/>
          <w:sz w:val="32"/>
          <w:szCs w:val="32"/>
          <w:lang w:val="en-US" w:eastAsia="zh-CN"/>
        </w:rPr>
        <w:t>时间：3月11日，12:30-14:00</w:t>
      </w:r>
    </w:p>
    <w:p w14:paraId="36073A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highlight w:val="none"/>
          <w:lang w:val="en-US" w:eastAsia="zh-CN"/>
        </w:rPr>
        <w:t>地点：</w:t>
      </w:r>
      <w:r>
        <w:rPr>
          <w:rFonts w:hint="eastAsia" w:ascii="仿宋" w:hAnsi="仿宋" w:eastAsia="仿宋" w:cs="仿宋"/>
          <w:sz w:val="32"/>
          <w:szCs w:val="32"/>
          <w:lang w:val="en-US" w:eastAsia="zh-CN"/>
        </w:rPr>
        <w:t>25-202</w:t>
      </w:r>
    </w:p>
    <w:p w14:paraId="4F5C4DC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备注：请参加笔试的同学带上有效身份证明（学生证或身份证），提前15分钟抵达考场。</w:t>
      </w:r>
    </w:p>
    <w:p w14:paraId="554B824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2.面试：</w:t>
      </w:r>
    </w:p>
    <w:p w14:paraId="652416F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时间：3月12日，12:45请进入面试环节同学到候考室报到（温馨提示：面试时间较长，建议自备食品和饮用水）</w:t>
      </w:r>
    </w:p>
    <w:p w14:paraId="52D355B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地点：24-403（候考室）；24-406（面试考场）</w:t>
      </w:r>
    </w:p>
    <w:p w14:paraId="074CB60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备注：请参加面试的同学带上有效身份证明（学生证或身份证），提前10分钟抵达候考室。</w:t>
      </w:r>
      <w:bookmarkStart w:id="0" w:name="_GoBack"/>
      <w:bookmarkEnd w:id="0"/>
    </w:p>
    <w:p w14:paraId="4F5E3F5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eastAsia="zh-CN"/>
        </w:rPr>
        <w:t>）本办法由数学</w:t>
      </w:r>
      <w:r>
        <w:rPr>
          <w:rFonts w:hint="eastAsia" w:ascii="仿宋" w:hAnsi="仿宋" w:eastAsia="仿宋" w:cs="仿宋"/>
          <w:sz w:val="32"/>
          <w:szCs w:val="32"/>
          <w:lang w:val="en-US" w:eastAsia="zh-CN"/>
        </w:rPr>
        <w:t>科学学院</w:t>
      </w:r>
      <w:r>
        <w:rPr>
          <w:rFonts w:hint="eastAsia" w:ascii="仿宋" w:hAnsi="仿宋" w:eastAsia="仿宋" w:cs="仿宋"/>
          <w:sz w:val="32"/>
          <w:szCs w:val="32"/>
          <w:lang w:eastAsia="zh-CN"/>
        </w:rPr>
        <w:t>转专业工作小组负责解释。</w:t>
      </w:r>
    </w:p>
    <w:p w14:paraId="7A1C71D8">
      <w:pPr>
        <w:spacing w:line="360" w:lineRule="auto"/>
        <w:ind w:left="960"/>
        <w:rPr>
          <w:rFonts w:ascii="仿宋" w:hAnsi="仿宋" w:eastAsia="仿宋"/>
          <w:sz w:val="24"/>
        </w:rPr>
      </w:pPr>
    </w:p>
    <w:p w14:paraId="72D18D4A">
      <w:pPr>
        <w:rPr>
          <w:rFonts w:hint="eastAsia" w:eastAsiaTheme="minorEastAsia"/>
          <w:lang w:val="en-US" w:eastAsia="zh-CN"/>
        </w:rPr>
      </w:pPr>
      <w:r>
        <w:br w:type="page"/>
      </w:r>
    </w:p>
    <w:p w14:paraId="16F8FD16">
      <w:pPr>
        <w:pStyle w:val="2"/>
        <w:keepNext/>
        <w:keepLines/>
        <w:pageBreakBefore w:val="0"/>
        <w:widowControl w:val="0"/>
        <w:kinsoku/>
        <w:wordWrap/>
        <w:overflowPunct/>
        <w:topLinePunct w:val="0"/>
        <w:autoSpaceDE/>
        <w:autoSpaceDN/>
        <w:bidi w:val="0"/>
        <w:adjustRightInd/>
        <w:snapToGrid/>
        <w:spacing w:line="640" w:lineRule="exact"/>
        <w:jc w:val="left"/>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仿宋" w:hAnsi="仿宋" w:eastAsia="仿宋" w:cs="仿宋"/>
          <w:sz w:val="32"/>
          <w:szCs w:val="32"/>
          <w:lang w:val="en-US" w:eastAsia="zh-CN"/>
        </w:rPr>
        <w:t>附件1-1</w:t>
      </w:r>
    </w:p>
    <w:p w14:paraId="0805FF1A">
      <w:pPr>
        <w:pStyle w:val="2"/>
        <w:keepNext/>
        <w:keepLines/>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数学科学学院</w:t>
      </w:r>
      <w:r>
        <w:rPr>
          <w:rFonts w:hint="eastAsia" w:ascii="方正小标宋简体" w:hAnsi="方正小标宋简体" w:eastAsia="方正小标宋简体" w:cs="方正小标宋简体"/>
          <w:b w:val="0"/>
          <w:bCs w:val="0"/>
          <w:sz w:val="44"/>
          <w:szCs w:val="44"/>
        </w:rPr>
        <w:t>转专业面试规则</w:t>
      </w:r>
    </w:p>
    <w:p w14:paraId="1CC4136C">
      <w:pPr>
        <w:spacing w:line="360" w:lineRule="auto"/>
        <w:rPr>
          <w:sz w:val="24"/>
          <w:szCs w:val="24"/>
        </w:rPr>
      </w:pPr>
    </w:p>
    <w:p w14:paraId="3E7EF7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为保证数学科学学院转专业工作顺利进行，特对转专业面试制定以下面试规则：</w:t>
      </w:r>
    </w:p>
    <w:p w14:paraId="176979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一、数学科学学院成立转专业面试工作小组，由本学院分管本科教学工作副院长担任小组长，小组成员由面试考官组成。</w:t>
      </w:r>
    </w:p>
    <w:p w14:paraId="3AA213E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二、根据实际入围面试人员数及笔试成绩，确定面试分组数，即考生需按笔试成绩均匀分布到每一小组。</w:t>
      </w:r>
    </w:p>
    <w:p w14:paraId="3E6B0C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三、面试内容主要考察专业素养的表达、书写等，考核点见面试考核表（附件1-2）。</w:t>
      </w:r>
    </w:p>
    <w:p w14:paraId="33D5539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四、面试小组的考官由5—7位专业教师组成，每位考官根据考核点对考生独立打分，全部考官打分的平均分为学生的面试成绩。</w:t>
      </w:r>
    </w:p>
    <w:p w14:paraId="12A9424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五、面试考官必须遵守浙江师范大学关于考试监考等相关规定，不得徇私舞弊。</w:t>
      </w:r>
    </w:p>
    <w:p w14:paraId="3DE0A5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六、其他未尽事宜由转专业工作组负责解释。</w:t>
      </w:r>
    </w:p>
    <w:p w14:paraId="0F5B1D9A">
      <w:pPr>
        <w:spacing w:line="360" w:lineRule="auto"/>
        <w:jc w:val="both"/>
        <w:rPr>
          <w:b/>
          <w:sz w:val="36"/>
          <w:szCs w:val="36"/>
        </w:rPr>
      </w:pPr>
    </w:p>
    <w:p w14:paraId="7379B744">
      <w:pPr>
        <w:pStyle w:val="2"/>
        <w:keepNext/>
        <w:keepLines/>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sz w:val="32"/>
          <w:szCs w:val="32"/>
          <w:lang w:val="en-US" w:eastAsia="zh-CN"/>
        </w:rPr>
      </w:pPr>
    </w:p>
    <w:p w14:paraId="51B01523">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br w:type="page"/>
      </w:r>
    </w:p>
    <w:p w14:paraId="3ACA73F8">
      <w:pPr>
        <w:pStyle w:val="2"/>
        <w:keepNext/>
        <w:keepLines/>
        <w:pageBreakBefore w:val="0"/>
        <w:widowControl w:val="0"/>
        <w:kinsoku/>
        <w:wordWrap/>
        <w:overflowPunct/>
        <w:topLinePunct w:val="0"/>
        <w:autoSpaceDE/>
        <w:autoSpaceDN/>
        <w:bidi w:val="0"/>
        <w:adjustRightInd/>
        <w:snapToGrid/>
        <w:spacing w:line="640" w:lineRule="exact"/>
        <w:jc w:val="left"/>
        <w:textAlignment w:val="auto"/>
        <w:rPr>
          <w:rFonts w:hint="eastAsia" w:ascii="方正小标宋简体" w:hAnsi="方正小标宋简体" w:eastAsia="方正小标宋简体" w:cs="方正小标宋简体"/>
          <w:b w:val="0"/>
          <w:bCs w:val="0"/>
          <w:kern w:val="2"/>
          <w:sz w:val="44"/>
          <w:szCs w:val="44"/>
          <w:lang w:val="en-US" w:eastAsia="zh-CN" w:bidi="ar-SA"/>
        </w:rPr>
      </w:pPr>
      <w:r>
        <w:rPr>
          <w:rFonts w:hint="eastAsia" w:ascii="仿宋" w:hAnsi="仿宋" w:eastAsia="仿宋" w:cs="仿宋"/>
          <w:sz w:val="32"/>
          <w:szCs w:val="32"/>
          <w:lang w:val="en-US" w:eastAsia="zh-CN"/>
        </w:rPr>
        <w:t>附件1-2</w:t>
      </w:r>
    </w:p>
    <w:p w14:paraId="200ABDA9">
      <w:pPr>
        <w:jc w:val="center"/>
        <w:rPr>
          <w:rFonts w:ascii="Times New Roman" w:hAnsi="Times New Roman" w:cs="Times New Roman"/>
          <w:b/>
          <w:sz w:val="32"/>
          <w:szCs w:val="32"/>
        </w:rPr>
      </w:pPr>
      <w:r>
        <w:rPr>
          <w:rFonts w:hint="eastAsia" w:ascii="方正小标宋简体" w:hAnsi="方正小标宋简体" w:eastAsia="方正小标宋简体" w:cs="方正小标宋简体"/>
          <w:b w:val="0"/>
          <w:bCs w:val="0"/>
          <w:kern w:val="2"/>
          <w:sz w:val="44"/>
          <w:szCs w:val="44"/>
          <w:lang w:val="en-US" w:eastAsia="zh-CN" w:bidi="ar-SA"/>
        </w:rPr>
        <w:t>数学科学学院转专业面试考核表</w:t>
      </w:r>
    </w:p>
    <w:tbl>
      <w:tblPr>
        <w:tblStyle w:val="6"/>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5353"/>
        <w:gridCol w:w="1134"/>
        <w:gridCol w:w="2035"/>
      </w:tblGrid>
      <w:tr w14:paraId="32FC17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52" w:hRule="atLeast"/>
          <w:jc w:val="center"/>
        </w:trPr>
        <w:tc>
          <w:tcPr>
            <w:tcW w:w="5353" w:type="dxa"/>
            <w:vAlign w:val="center"/>
          </w:tcPr>
          <w:p w14:paraId="5D7231E1">
            <w:pPr>
              <w:spacing w:line="540" w:lineRule="exact"/>
              <w:jc w:val="center"/>
              <w:rPr>
                <w:rFonts w:hint="eastAsia" w:ascii="仿宋" w:hAnsi="仿宋" w:eastAsia="仿宋" w:cs="仿宋"/>
                <w:sz w:val="32"/>
                <w:szCs w:val="32"/>
              </w:rPr>
            </w:pPr>
            <w:r>
              <w:rPr>
                <w:rFonts w:hint="eastAsia" w:ascii="仿宋" w:hAnsi="仿宋" w:eastAsia="仿宋" w:cs="仿宋"/>
                <w:sz w:val="32"/>
                <w:szCs w:val="32"/>
              </w:rPr>
              <w:t>考核点</w:t>
            </w:r>
          </w:p>
        </w:tc>
        <w:tc>
          <w:tcPr>
            <w:tcW w:w="1134" w:type="dxa"/>
            <w:vAlign w:val="center"/>
          </w:tcPr>
          <w:p w14:paraId="11345DE3">
            <w:pPr>
              <w:spacing w:line="540" w:lineRule="exact"/>
              <w:jc w:val="center"/>
              <w:rPr>
                <w:rFonts w:hint="eastAsia" w:ascii="仿宋" w:hAnsi="仿宋" w:eastAsia="仿宋" w:cs="仿宋"/>
                <w:sz w:val="32"/>
                <w:szCs w:val="32"/>
              </w:rPr>
            </w:pPr>
            <w:r>
              <w:rPr>
                <w:rFonts w:hint="eastAsia" w:ascii="仿宋" w:hAnsi="仿宋" w:eastAsia="仿宋" w:cs="仿宋"/>
                <w:sz w:val="32"/>
                <w:szCs w:val="32"/>
              </w:rPr>
              <w:t>权重</w:t>
            </w:r>
          </w:p>
        </w:tc>
        <w:tc>
          <w:tcPr>
            <w:tcW w:w="2035" w:type="dxa"/>
            <w:vAlign w:val="center"/>
          </w:tcPr>
          <w:p w14:paraId="2A296FA5">
            <w:pPr>
              <w:spacing w:line="540" w:lineRule="exact"/>
              <w:jc w:val="center"/>
              <w:rPr>
                <w:rFonts w:hint="eastAsia" w:ascii="仿宋" w:hAnsi="仿宋" w:eastAsia="仿宋" w:cs="仿宋"/>
                <w:sz w:val="32"/>
                <w:szCs w:val="32"/>
              </w:rPr>
            </w:pPr>
            <w:r>
              <w:rPr>
                <w:rFonts w:hint="eastAsia" w:ascii="仿宋" w:hAnsi="仿宋" w:eastAsia="仿宋" w:cs="仿宋"/>
                <w:sz w:val="32"/>
                <w:szCs w:val="32"/>
              </w:rPr>
              <w:t>得分</w:t>
            </w:r>
          </w:p>
        </w:tc>
      </w:tr>
      <w:tr w14:paraId="1E47D7C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76" w:hRule="atLeast"/>
          <w:jc w:val="center"/>
        </w:trPr>
        <w:tc>
          <w:tcPr>
            <w:tcW w:w="5353" w:type="dxa"/>
            <w:vAlign w:val="center"/>
          </w:tcPr>
          <w:p w14:paraId="18A8AA36">
            <w:pPr>
              <w:spacing w:line="540" w:lineRule="exact"/>
              <w:rPr>
                <w:rFonts w:hint="eastAsia" w:ascii="仿宋" w:hAnsi="仿宋" w:eastAsia="仿宋" w:cs="仿宋"/>
                <w:sz w:val="32"/>
                <w:szCs w:val="32"/>
              </w:rPr>
            </w:pPr>
            <w:r>
              <w:rPr>
                <w:rFonts w:hint="eastAsia" w:ascii="仿宋" w:hAnsi="仿宋" w:eastAsia="仿宋" w:cs="仿宋"/>
                <w:sz w:val="32"/>
                <w:szCs w:val="32"/>
              </w:rPr>
              <w:t>1.教态：衣着整洁；精神饱满振奋；动作协调；自然大方。</w:t>
            </w:r>
          </w:p>
        </w:tc>
        <w:tc>
          <w:tcPr>
            <w:tcW w:w="1134" w:type="dxa"/>
            <w:vAlign w:val="center"/>
          </w:tcPr>
          <w:p w14:paraId="63857FB5">
            <w:pPr>
              <w:spacing w:line="540" w:lineRule="exact"/>
              <w:rPr>
                <w:rFonts w:hint="eastAsia" w:ascii="仿宋" w:hAnsi="仿宋" w:eastAsia="仿宋" w:cs="仿宋"/>
                <w:sz w:val="32"/>
                <w:szCs w:val="32"/>
              </w:rPr>
            </w:pPr>
            <w:r>
              <w:rPr>
                <w:rFonts w:hint="eastAsia" w:ascii="仿宋" w:hAnsi="仿宋" w:eastAsia="仿宋" w:cs="仿宋"/>
                <w:sz w:val="32"/>
                <w:szCs w:val="32"/>
              </w:rPr>
              <w:t xml:space="preserve">  20</w:t>
            </w:r>
          </w:p>
        </w:tc>
        <w:tc>
          <w:tcPr>
            <w:tcW w:w="2035" w:type="dxa"/>
            <w:vAlign w:val="center"/>
          </w:tcPr>
          <w:p w14:paraId="3CD91E90">
            <w:pPr>
              <w:spacing w:line="540" w:lineRule="exac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不在此打分</w:t>
            </w:r>
          </w:p>
        </w:tc>
      </w:tr>
      <w:tr w14:paraId="51EC97B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4" w:hRule="atLeast"/>
          <w:jc w:val="center"/>
        </w:trPr>
        <w:tc>
          <w:tcPr>
            <w:tcW w:w="5353" w:type="dxa"/>
            <w:vAlign w:val="center"/>
          </w:tcPr>
          <w:p w14:paraId="07C4FFE6">
            <w:pPr>
              <w:spacing w:line="540" w:lineRule="exact"/>
              <w:rPr>
                <w:rFonts w:hint="eastAsia" w:ascii="仿宋" w:hAnsi="仿宋" w:eastAsia="仿宋" w:cs="仿宋"/>
                <w:sz w:val="32"/>
                <w:szCs w:val="32"/>
              </w:rPr>
            </w:pPr>
            <w:r>
              <w:rPr>
                <w:rFonts w:hint="eastAsia" w:ascii="仿宋" w:hAnsi="仿宋" w:eastAsia="仿宋" w:cs="仿宋"/>
                <w:sz w:val="32"/>
                <w:szCs w:val="32"/>
              </w:rPr>
              <w:t>2.语言：用普通话教学，语言简洁易懂，音量高低、速度快慢适中。</w:t>
            </w:r>
          </w:p>
        </w:tc>
        <w:tc>
          <w:tcPr>
            <w:tcW w:w="1134" w:type="dxa"/>
            <w:vAlign w:val="center"/>
          </w:tcPr>
          <w:p w14:paraId="4FD6236A">
            <w:pPr>
              <w:spacing w:line="540" w:lineRule="exact"/>
              <w:rPr>
                <w:rFonts w:hint="eastAsia" w:ascii="仿宋" w:hAnsi="仿宋" w:eastAsia="仿宋" w:cs="仿宋"/>
                <w:sz w:val="32"/>
                <w:szCs w:val="32"/>
              </w:rPr>
            </w:pPr>
            <w:r>
              <w:rPr>
                <w:rFonts w:hint="eastAsia" w:ascii="仿宋" w:hAnsi="仿宋" w:eastAsia="仿宋" w:cs="仿宋"/>
                <w:sz w:val="32"/>
                <w:szCs w:val="32"/>
              </w:rPr>
              <w:t xml:space="preserve">  20</w:t>
            </w:r>
          </w:p>
        </w:tc>
        <w:tc>
          <w:tcPr>
            <w:tcW w:w="2035" w:type="dxa"/>
            <w:vAlign w:val="center"/>
          </w:tcPr>
          <w:p w14:paraId="4A2647C9">
            <w:pPr>
              <w:spacing w:line="540" w:lineRule="exact"/>
              <w:rPr>
                <w:rFonts w:hint="eastAsia" w:ascii="仿宋" w:hAnsi="仿宋" w:eastAsia="仿宋" w:cs="仿宋"/>
                <w:sz w:val="32"/>
                <w:szCs w:val="32"/>
              </w:rPr>
            </w:pPr>
            <w:r>
              <w:rPr>
                <w:rFonts w:hint="eastAsia" w:ascii="仿宋" w:hAnsi="仿宋" w:eastAsia="仿宋" w:cs="仿宋"/>
                <w:sz w:val="32"/>
                <w:szCs w:val="32"/>
                <w:lang w:val="en-US" w:eastAsia="zh-CN"/>
              </w:rPr>
              <w:t>不在此打分</w:t>
            </w:r>
          </w:p>
        </w:tc>
      </w:tr>
      <w:tr w14:paraId="37BA6BB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96" w:hRule="atLeast"/>
          <w:jc w:val="center"/>
        </w:trPr>
        <w:tc>
          <w:tcPr>
            <w:tcW w:w="5353" w:type="dxa"/>
            <w:vAlign w:val="center"/>
          </w:tcPr>
          <w:p w14:paraId="68210CA6">
            <w:pPr>
              <w:spacing w:line="540" w:lineRule="exact"/>
              <w:rPr>
                <w:rFonts w:hint="eastAsia" w:ascii="仿宋" w:hAnsi="仿宋" w:eastAsia="仿宋" w:cs="仿宋"/>
                <w:sz w:val="32"/>
                <w:szCs w:val="32"/>
              </w:rPr>
            </w:pPr>
            <w:r>
              <w:rPr>
                <w:rFonts w:hint="eastAsia" w:ascii="仿宋" w:hAnsi="仿宋" w:eastAsia="仿宋" w:cs="仿宋"/>
                <w:sz w:val="32"/>
                <w:szCs w:val="32"/>
              </w:rPr>
              <w:t>3.板书：无错别字；字的大小、轻度适中；工整规范、排列整齐；板书与口述配合协调；设计、 布局合理</w:t>
            </w:r>
            <w:r>
              <w:rPr>
                <w:rFonts w:hint="eastAsia" w:ascii="仿宋" w:hAnsi="仿宋" w:eastAsia="仿宋" w:cs="仿宋"/>
                <w:sz w:val="32"/>
                <w:szCs w:val="32"/>
                <w:lang w:eastAsia="zh-CN"/>
              </w:rPr>
              <w:t>，具</w:t>
            </w:r>
            <w:r>
              <w:rPr>
                <w:rFonts w:hint="eastAsia" w:ascii="仿宋" w:hAnsi="仿宋" w:eastAsia="仿宋" w:cs="仿宋"/>
                <w:sz w:val="32"/>
                <w:szCs w:val="32"/>
              </w:rPr>
              <w:t>有美感。</w:t>
            </w:r>
          </w:p>
        </w:tc>
        <w:tc>
          <w:tcPr>
            <w:tcW w:w="1134" w:type="dxa"/>
            <w:vAlign w:val="center"/>
          </w:tcPr>
          <w:p w14:paraId="7E214176">
            <w:pPr>
              <w:spacing w:line="540" w:lineRule="exact"/>
              <w:rPr>
                <w:rFonts w:hint="eastAsia" w:ascii="仿宋" w:hAnsi="仿宋" w:eastAsia="仿宋" w:cs="仿宋"/>
                <w:sz w:val="32"/>
                <w:szCs w:val="32"/>
              </w:rPr>
            </w:pPr>
            <w:r>
              <w:rPr>
                <w:rFonts w:hint="eastAsia" w:ascii="仿宋" w:hAnsi="仿宋" w:eastAsia="仿宋" w:cs="仿宋"/>
                <w:sz w:val="32"/>
                <w:szCs w:val="32"/>
              </w:rPr>
              <w:t xml:space="preserve">  20</w:t>
            </w:r>
          </w:p>
        </w:tc>
        <w:tc>
          <w:tcPr>
            <w:tcW w:w="2035" w:type="dxa"/>
            <w:vAlign w:val="center"/>
          </w:tcPr>
          <w:p w14:paraId="35848C61">
            <w:pPr>
              <w:spacing w:line="540" w:lineRule="exact"/>
              <w:rPr>
                <w:rFonts w:hint="eastAsia" w:ascii="仿宋" w:hAnsi="仿宋" w:eastAsia="仿宋" w:cs="仿宋"/>
                <w:sz w:val="32"/>
                <w:szCs w:val="32"/>
              </w:rPr>
            </w:pPr>
            <w:r>
              <w:rPr>
                <w:rFonts w:hint="eastAsia" w:ascii="仿宋" w:hAnsi="仿宋" w:eastAsia="仿宋" w:cs="仿宋"/>
                <w:sz w:val="32"/>
                <w:szCs w:val="32"/>
                <w:lang w:val="en-US" w:eastAsia="zh-CN"/>
              </w:rPr>
              <w:t>不在此打分</w:t>
            </w:r>
          </w:p>
        </w:tc>
      </w:tr>
      <w:tr w14:paraId="1D0B2EF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25" w:hRule="atLeast"/>
          <w:jc w:val="center"/>
        </w:trPr>
        <w:tc>
          <w:tcPr>
            <w:tcW w:w="5353" w:type="dxa"/>
            <w:vAlign w:val="center"/>
          </w:tcPr>
          <w:p w14:paraId="04958809">
            <w:pPr>
              <w:spacing w:line="540" w:lineRule="exact"/>
              <w:rPr>
                <w:rFonts w:hint="eastAsia" w:ascii="仿宋" w:hAnsi="仿宋" w:eastAsia="仿宋" w:cs="仿宋"/>
                <w:sz w:val="32"/>
                <w:szCs w:val="32"/>
              </w:rPr>
            </w:pPr>
            <w:r>
              <w:rPr>
                <w:rFonts w:hint="eastAsia" w:ascii="仿宋" w:hAnsi="仿宋" w:eastAsia="仿宋" w:cs="仿宋"/>
                <w:sz w:val="32"/>
                <w:szCs w:val="32"/>
              </w:rPr>
              <w:t>4.数学素养：数学基础知识是否扎实，思维是否严密，推演是否正确。</w:t>
            </w:r>
          </w:p>
        </w:tc>
        <w:tc>
          <w:tcPr>
            <w:tcW w:w="1134" w:type="dxa"/>
            <w:vAlign w:val="center"/>
          </w:tcPr>
          <w:p w14:paraId="3F92656D">
            <w:pPr>
              <w:spacing w:line="540" w:lineRule="exact"/>
              <w:rPr>
                <w:rFonts w:hint="eastAsia" w:ascii="仿宋" w:hAnsi="仿宋" w:eastAsia="仿宋" w:cs="仿宋"/>
                <w:sz w:val="32"/>
                <w:szCs w:val="32"/>
              </w:rPr>
            </w:pPr>
            <w:r>
              <w:rPr>
                <w:rFonts w:hint="eastAsia" w:ascii="仿宋" w:hAnsi="仿宋" w:eastAsia="仿宋" w:cs="仿宋"/>
                <w:sz w:val="32"/>
                <w:szCs w:val="32"/>
              </w:rPr>
              <w:t xml:space="preserve">  40</w:t>
            </w:r>
          </w:p>
        </w:tc>
        <w:tc>
          <w:tcPr>
            <w:tcW w:w="2035" w:type="dxa"/>
            <w:vAlign w:val="center"/>
          </w:tcPr>
          <w:p w14:paraId="3C777AD8">
            <w:pPr>
              <w:spacing w:line="540" w:lineRule="exact"/>
              <w:rPr>
                <w:rFonts w:hint="eastAsia" w:ascii="仿宋" w:hAnsi="仿宋" w:eastAsia="仿宋" w:cs="仿宋"/>
                <w:sz w:val="32"/>
                <w:szCs w:val="32"/>
              </w:rPr>
            </w:pPr>
            <w:r>
              <w:rPr>
                <w:rFonts w:hint="eastAsia" w:ascii="仿宋" w:hAnsi="仿宋" w:eastAsia="仿宋" w:cs="仿宋"/>
                <w:sz w:val="32"/>
                <w:szCs w:val="32"/>
                <w:lang w:val="en-US" w:eastAsia="zh-CN"/>
              </w:rPr>
              <w:t>不在此打分</w:t>
            </w:r>
          </w:p>
        </w:tc>
      </w:tr>
      <w:tr w14:paraId="48757A0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5" w:hRule="atLeast"/>
          <w:jc w:val="center"/>
        </w:trPr>
        <w:tc>
          <w:tcPr>
            <w:tcW w:w="8522" w:type="dxa"/>
            <w:gridSpan w:val="3"/>
            <w:vAlign w:val="center"/>
          </w:tcPr>
          <w:p w14:paraId="7063955D">
            <w:pPr>
              <w:spacing w:line="540" w:lineRule="exact"/>
              <w:rPr>
                <w:rFonts w:hint="eastAsia" w:ascii="仿宋" w:hAnsi="仿宋" w:eastAsia="仿宋" w:cs="仿宋"/>
                <w:sz w:val="32"/>
                <w:szCs w:val="32"/>
                <w:lang w:val="en-US" w:eastAsia="zh-CN"/>
              </w:rPr>
            </w:pPr>
            <w:r>
              <w:rPr>
                <w:rFonts w:hint="eastAsia" w:ascii="仿宋" w:hAnsi="仿宋" w:eastAsia="仿宋" w:cs="仿宋"/>
                <w:sz w:val="32"/>
                <w:szCs w:val="32"/>
              </w:rPr>
              <w:t>考生姓名：</w:t>
            </w:r>
            <w:r>
              <w:rPr>
                <w:rFonts w:hint="eastAsia" w:ascii="仿宋" w:hAnsi="仿宋" w:eastAsia="仿宋" w:cs="仿宋"/>
                <w:sz w:val="32"/>
                <w:szCs w:val="32"/>
                <w:lang w:val="en-US" w:eastAsia="zh-CN"/>
              </w:rPr>
              <w:t>不填写</w:t>
            </w:r>
            <w:r>
              <w:rPr>
                <w:rFonts w:hint="eastAsia" w:ascii="仿宋" w:hAnsi="仿宋" w:eastAsia="仿宋" w:cs="仿宋"/>
                <w:sz w:val="32"/>
                <w:szCs w:val="32"/>
              </w:rPr>
              <w:t xml:space="preserve">                   总得分：</w:t>
            </w:r>
            <w:r>
              <w:rPr>
                <w:rFonts w:hint="eastAsia" w:ascii="仿宋" w:hAnsi="仿宋" w:eastAsia="仿宋" w:cs="仿宋"/>
                <w:sz w:val="32"/>
                <w:szCs w:val="32"/>
                <w:lang w:val="en-US" w:eastAsia="zh-CN"/>
              </w:rPr>
              <w:t>不填写</w:t>
            </w:r>
          </w:p>
        </w:tc>
      </w:tr>
      <w:tr w14:paraId="6D1F08D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5" w:hRule="atLeast"/>
          <w:jc w:val="center"/>
        </w:trPr>
        <w:tc>
          <w:tcPr>
            <w:tcW w:w="8522" w:type="dxa"/>
            <w:gridSpan w:val="3"/>
            <w:vAlign w:val="center"/>
          </w:tcPr>
          <w:p w14:paraId="339C538A">
            <w:pPr>
              <w:spacing w:line="540" w:lineRule="exact"/>
              <w:rPr>
                <w:rFonts w:hint="eastAsia" w:ascii="仿宋" w:hAnsi="仿宋" w:eastAsia="仿宋" w:cs="仿宋"/>
                <w:sz w:val="32"/>
                <w:szCs w:val="32"/>
              </w:rPr>
            </w:pPr>
            <w:r>
              <w:rPr>
                <w:rFonts w:hint="eastAsia" w:ascii="仿宋" w:hAnsi="仿宋" w:eastAsia="仿宋" w:cs="仿宋"/>
                <w:sz w:val="32"/>
                <w:szCs w:val="32"/>
              </w:rPr>
              <w:t>其他情况说明：</w:t>
            </w:r>
          </w:p>
        </w:tc>
      </w:tr>
    </w:tbl>
    <w:p w14:paraId="5AB469E3">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注：面试流程：（1）自我介绍；（2）现场抽题、做题并讲解；（3）提问环节</w:t>
      </w:r>
    </w:p>
    <w:p w14:paraId="68F2CCFB">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14:paraId="0B459CFD">
      <w:pPr>
        <w:jc w:val="center"/>
        <w:rPr>
          <w:rFonts w:hint="eastAsia" w:ascii="仿宋" w:hAnsi="仿宋" w:eastAsia="仿宋" w:cs="仿宋"/>
          <w:sz w:val="32"/>
          <w:szCs w:val="32"/>
          <w:lang w:val="en-US" w:eastAsia="zh-CN"/>
        </w:rPr>
      </w:pPr>
    </w:p>
    <w:p w14:paraId="31E5D182">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考官签字：</w:t>
      </w:r>
      <w:r>
        <w:rPr>
          <w:rFonts w:hint="eastAsia" w:ascii="仿宋" w:hAnsi="仿宋" w:eastAsia="仿宋" w:cs="仿宋"/>
          <w:sz w:val="32"/>
          <w:szCs w:val="32"/>
          <w:lang w:val="en-US" w:eastAsia="zh-CN"/>
        </w:rPr>
        <w:t>不填写</w:t>
      </w:r>
    </w:p>
    <w:p w14:paraId="008DCC6F">
      <w:pPr>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面试时间：</w:t>
      </w:r>
    </w:p>
    <w:p w14:paraId="156687FF"/>
    <w:sectPr>
      <w:pgSz w:w="11906" w:h="16838"/>
      <w:pgMar w:top="1440" w:right="1406" w:bottom="1440"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4Y2QyY2UxN2NiNzc1OWFlOGU1N2UxZWNlMDU0NTIifQ=="/>
  </w:docVars>
  <w:rsids>
    <w:rsidRoot w:val="008B14C3"/>
    <w:rsid w:val="00086593"/>
    <w:rsid w:val="000A642A"/>
    <w:rsid w:val="001A5595"/>
    <w:rsid w:val="003F10FC"/>
    <w:rsid w:val="004848CD"/>
    <w:rsid w:val="006B0130"/>
    <w:rsid w:val="00816D6D"/>
    <w:rsid w:val="008B14C3"/>
    <w:rsid w:val="009E0FCB"/>
    <w:rsid w:val="00AC2586"/>
    <w:rsid w:val="00B07EE7"/>
    <w:rsid w:val="00DA02CB"/>
    <w:rsid w:val="00DA408C"/>
    <w:rsid w:val="00FB0DDB"/>
    <w:rsid w:val="00FE31F9"/>
    <w:rsid w:val="024D076C"/>
    <w:rsid w:val="036C3DD7"/>
    <w:rsid w:val="07773B23"/>
    <w:rsid w:val="095F13EB"/>
    <w:rsid w:val="1134754A"/>
    <w:rsid w:val="13BB65F1"/>
    <w:rsid w:val="18650C61"/>
    <w:rsid w:val="1D6D0F49"/>
    <w:rsid w:val="1D912D23"/>
    <w:rsid w:val="1FD02879"/>
    <w:rsid w:val="25E619F1"/>
    <w:rsid w:val="2C394581"/>
    <w:rsid w:val="30684DA5"/>
    <w:rsid w:val="33A855B9"/>
    <w:rsid w:val="349D7152"/>
    <w:rsid w:val="39D73383"/>
    <w:rsid w:val="3B3A061B"/>
    <w:rsid w:val="3BF53F3F"/>
    <w:rsid w:val="41D77101"/>
    <w:rsid w:val="46296F13"/>
    <w:rsid w:val="46C247C0"/>
    <w:rsid w:val="470C0696"/>
    <w:rsid w:val="494373B2"/>
    <w:rsid w:val="4DDC4646"/>
    <w:rsid w:val="5296717A"/>
    <w:rsid w:val="53487A69"/>
    <w:rsid w:val="53E75654"/>
    <w:rsid w:val="53F2789F"/>
    <w:rsid w:val="5536081F"/>
    <w:rsid w:val="56F4064A"/>
    <w:rsid w:val="58B36629"/>
    <w:rsid w:val="59CF7B4F"/>
    <w:rsid w:val="5A183297"/>
    <w:rsid w:val="5CE15099"/>
    <w:rsid w:val="5D0963E0"/>
    <w:rsid w:val="5FCC3EE8"/>
    <w:rsid w:val="630F6916"/>
    <w:rsid w:val="63113FAD"/>
    <w:rsid w:val="6A7744F3"/>
    <w:rsid w:val="6CD91CA7"/>
    <w:rsid w:val="70E84304"/>
    <w:rsid w:val="747131CA"/>
    <w:rsid w:val="77744E81"/>
    <w:rsid w:val="77B33E86"/>
    <w:rsid w:val="78032365"/>
    <w:rsid w:val="79AA72D1"/>
    <w:rsid w:val="7B5D190A"/>
    <w:rsid w:val="7BFC6B97"/>
    <w:rsid w:val="7ED959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paragraph" w:styleId="2">
    <w:name w:val="heading 2"/>
    <w:basedOn w:val="1"/>
    <w:next w:val="1"/>
    <w:autoRedefine/>
    <w:unhideWhenUsed/>
    <w:qFormat/>
    <w:uiPriority w:val="0"/>
    <w:pPr>
      <w:keepNext/>
      <w:keepLines/>
      <w:spacing w:before="260" w:after="260" w:line="416" w:lineRule="auto"/>
      <w:outlineLvl w:val="1"/>
    </w:pPr>
    <w:rPr>
      <w:rFonts w:ascii="Calibri Light" w:hAnsi="Calibri Light"/>
      <w:b/>
      <w:bCs/>
      <w:sz w:val="32"/>
      <w:szCs w:val="32"/>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autoRedefine/>
    <w:qFormat/>
    <w:uiPriority w:val="0"/>
    <w:pPr>
      <w:tabs>
        <w:tab w:val="center" w:pos="4153"/>
        <w:tab w:val="right" w:pos="8306"/>
      </w:tabs>
      <w:snapToGrid w:val="0"/>
      <w:jc w:val="left"/>
    </w:pPr>
    <w:rPr>
      <w:sz w:val="18"/>
      <w:szCs w:val="18"/>
    </w:rPr>
  </w:style>
  <w:style w:type="paragraph" w:styleId="4">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customStyle="1" w:styleId="8">
    <w:name w:val="页眉 字符"/>
    <w:basedOn w:val="7"/>
    <w:link w:val="4"/>
    <w:autoRedefine/>
    <w:qFormat/>
    <w:uiPriority w:val="0"/>
    <w:rPr>
      <w:rFonts w:ascii="Calibri" w:hAnsi="Calibri"/>
      <w:kern w:val="2"/>
      <w:sz w:val="18"/>
      <w:szCs w:val="18"/>
    </w:rPr>
  </w:style>
  <w:style w:type="character" w:customStyle="1" w:styleId="9">
    <w:name w:val="页脚 字符"/>
    <w:basedOn w:val="7"/>
    <w:link w:val="3"/>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992ada30-69a9-4ff0-b700-7f1346587b15</errorID>
      <errorWord>(</errorWord>
      <group>L1_Format</group>
      <groupName>格式问题</groupName>
      <ability>L2_HalfPunc</ability>
      <abilityName>全半角检查</abilityName>
      <candidateList>
        <item>（</item>
      </candidateList>
      <explain>文本全半角错误。</explain>
      <paraID>2879A5A4</paraID>
      <start>23</start>
      <end>24</end>
      <status>modified</status>
      <modifiedWord>（</modifiedWord>
      <trackRevisions>false</trackRevisions>
    </reviewItem>
    <reviewItem>
      <errorID>2da29229-3d55-4070-be69-27ef423fd6a9</errorID>
      <errorWord>)</errorWord>
      <group>L1_Format</group>
      <groupName>格式问题</groupName>
      <ability>L2_HalfPunc</ability>
      <abilityName>全半角检查</abilityName>
      <candidateList>
        <item>）</item>
      </candidateList>
      <explain>文本全半角错误。</explain>
      <paraID>2879A5A4</paraID>
      <start>32</start>
      <end>33</end>
      <status>modified</status>
      <modifiedWord>）</modifiedWord>
      <trackRevisions>false</trackRevisions>
    </reviewItem>
    <reviewItem>
      <errorID>bad56332-3a45-4314-88d6-84d25da5b7e2</errorID>
      <errorWord>考察学生</errorWord>
      <group>L1_Word</group>
      <groupName>字词问题</groupName>
      <ability>L2_Typo</ability>
      <abilityName>字词错误</abilityName>
      <candidateList>
        <item>考查学生</item>
      </candidateList>
      <explain/>
      <paraID>4B06B9E6</paraID>
      <start>39</start>
      <end>43</end>
      <status>modified</status>
      <modifiedWord>考查学生</modifiedWord>
      <trackRevisions>false</trackRevisions>
    </reviewItem>
    <reviewItem>
      <errorID>6edc6702-0d72-49fa-9b54-a0186c39cfe6</errorID>
      <errorWord>,</errorWord>
      <group>L1_Format</group>
      <groupName>格式问题</groupName>
      <ability>L2_HalfPunc</ability>
      <abilityName>全半角检查</abilityName>
      <candidateList>
        <item>，</item>
      </candidateList>
      <explain>文本全半角错误。</explain>
      <paraID>1CAB8088</paraID>
      <start>17</start>
      <end>18</end>
      <status>modified</status>
      <modifiedWord>，</modifiedWord>
      <trackRevisions>false</trackRevisions>
    </reviewItem>
    <reviewItem>
      <errorID>a4343292-758b-4ada-95ae-ff2e2d585caa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2AD7C148</paraID>
      <start>97</start>
      <end>98</end>
      <status>modified</status>
      <modifiedWord>—</modifiedWord>
      <trackRevisions>false</trackRevisions>
    </reviewItem>
    <reviewItem>
      <errorID>7c772565-fa4d-4174-ab85-5b724d812eb6</errorID>
      <errorWord>予以</errorWord>
      <group>L1_Word</group>
      <groupName>字词问题</groupName>
      <ability>L2_Typo</ability>
      <abilityName>字词错误</abilityName>
      <candidateList>
        <item>予</item>
      </candidateList>
      <explain/>
      <paraID>1363DBC5</paraID>
      <start>90</start>
      <end>91</end>
      <status>modified</status>
      <modifiedWord>予</modifiedWord>
      <trackRevisions>false</trackRevisions>
    </reviewItem>
    <reviewItem>
      <errorID>6999e56f-ef74-4516-b4fb-c4b995a16c9f</errorID>
      <errorWord>、由</errorWord>
      <group>L1_Word</group>
      <groupName>字词问题</groupName>
      <ability>L2_Typo</ability>
      <abilityName>字词错误</abilityName>
      <candidateList>
        <item>、</item>
      </candidateList>
      <explain/>
      <paraID>1769794F</paraID>
      <start>1</start>
      <end>2</end>
      <status>modified</status>
      <modifiedWord>、</modifiedWord>
      <trackRevisions>false</trackRevisions>
    </reviewItem>
    <reviewItem>
      <errorID>f0dcf07c-4be4-4ba8-84f4-f06559ed5bd6</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33D55392</paraID>
      <start>11</start>
      <end>12</end>
      <status>modified</status>
      <modifiedWord>—</modifiedWord>
      <trackRevisions>false</trackRevisions>
    </reviewItem>
    <reviewItem>
      <errorID>836fdbf1-a142-4775-8eb1-e8302ba16f63</errorID>
      <errorWord>，</errorWord>
      <group>L1_Word</group>
      <groupName>字词问题</groupName>
      <ability>L2_Typo</ability>
      <abilityName>字词错误</abilityName>
      <candidateList>
        <item>，具</item>
      </candidateList>
      <explain/>
      <paraID>68210CA6</paraID>
      <start>48</start>
      <end>50</end>
      <status>modified</status>
      <modifiedWord>，具</modifiedWord>
      <trackRevisions>false</trackRevisions>
    </reviewItem>
    <reviewItem>
      <errorID>2c21a192-7393-4606-9657-720b99b4be94</errorID>
      <errorWord>:</errorWord>
      <group>L1_Format</group>
      <groupName>格式问题</groupName>
      <ability>L2_HalfPunc</ability>
      <abilityName>全半角检查</abilityName>
      <candidateList>
        <item>：</item>
      </candidateList>
      <explain>文本全半角错误。</explain>
      <paraID>5AB469E3</paraID>
      <start>6</start>
      <end>7</end>
      <status>modified</status>
      <modifiedWord>：</modifiedWord>
      <trackRevisions>false</trackRevisions>
    </reviewItem>
  </reviewItems>
  <config/>
</contractReview>
</file>

<file path=customXml/itemProps1.xml><?xml version="1.0" encoding="utf-8"?>
<ds:datastoreItem xmlns:ds="http://schemas.openxmlformats.org/officeDocument/2006/customXml" ds:itemID="{e4e90cfd-00b1-4751-8db1-6478a4fe513f}">
  <ds:schemaRefs/>
</ds:datastoreItem>
</file>

<file path=docProps/app.xml><?xml version="1.0" encoding="utf-8"?>
<Properties xmlns="http://schemas.openxmlformats.org/officeDocument/2006/extended-properties" xmlns:vt="http://schemas.openxmlformats.org/officeDocument/2006/docPropsVTypes">
  <Template>Normal</Template>
  <Pages>5</Pages>
  <Words>1671</Words>
  <Characters>1727</Characters>
  <Lines>6</Lines>
  <Paragraphs>1</Paragraphs>
  <TotalTime>1</TotalTime>
  <ScaleCrop>false</ScaleCrop>
  <LinksUpToDate>false</LinksUpToDate>
  <CharactersWithSpaces>1832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亢龙有悔</cp:lastModifiedBy>
  <cp:lastPrinted>2026-01-05T03:52:00Z</cp:lastPrinted>
  <dcterms:modified xsi:type="dcterms:W3CDTF">2026-03-05T00:55:29Z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0785811A56294A839E06DE88D16598F1</vt:lpwstr>
  </property>
  <property fmtid="{D5CDD505-2E9C-101B-9397-08002B2CF9AE}" pid="4" name="KSOTemplateDocerSaveRecord">
    <vt:lpwstr>eyJoZGlkIjoiMGQ4Y2QyY2UxN2NiNzc1OWFlOGU1N2UxZWNlMDU0NTIiLCJ1c2VySWQiOiIyNTIyNDM2NTIifQ==</vt:lpwstr>
  </property>
</Properties>
</file>