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A21BB">
      <w:pPr>
        <w:jc w:val="center"/>
        <w:rPr>
          <w:rFonts w:hint="eastAsia" w:ascii="方正小标宋简体" w:hAnsi="方正小标宋简体" w:eastAsia="方正小标宋简体" w:cs="方正小标宋简体"/>
          <w:b/>
          <w:bCs/>
          <w:sz w:val="40"/>
          <w:szCs w:val="48"/>
        </w:rPr>
      </w:pPr>
      <w:bookmarkStart w:id="1" w:name="_GoBack"/>
      <w:bookmarkEnd w:id="1"/>
      <w:r>
        <w:rPr>
          <w:rFonts w:hint="eastAsia" w:ascii="方正小标宋简体" w:hAnsi="方正小标宋简体" w:eastAsia="方正小标宋简体" w:cs="方正小标宋简体"/>
          <w:b/>
          <w:bCs/>
          <w:sz w:val="40"/>
          <w:szCs w:val="48"/>
        </w:rPr>
        <w:t>浙江师范大学数学科学学院研究生</w:t>
      </w:r>
    </w:p>
    <w:p w14:paraId="6ACB563E">
      <w:pPr>
        <w:jc w:val="center"/>
        <w:rPr>
          <w:rFonts w:ascii="方正小标宋简体" w:hAnsi="方正小标宋简体" w:eastAsia="方正小标宋简体" w:cs="方正小标宋简体"/>
          <w:b/>
          <w:bCs/>
          <w:sz w:val="40"/>
          <w:szCs w:val="48"/>
        </w:rPr>
      </w:pPr>
      <w:r>
        <w:rPr>
          <w:rFonts w:hint="eastAsia" w:ascii="方正小标宋简体" w:hAnsi="方正小标宋简体" w:eastAsia="方正小标宋简体" w:cs="方正小标宋简体"/>
          <w:b/>
          <w:bCs/>
          <w:sz w:val="40"/>
          <w:szCs w:val="48"/>
        </w:rPr>
        <w:t>助研考核办法（</w:t>
      </w:r>
      <w:r>
        <w:rPr>
          <w:rFonts w:hint="eastAsia" w:ascii="方正小标宋简体" w:hAnsi="方正小标宋简体" w:eastAsia="方正小标宋简体" w:cs="方正小标宋简体"/>
          <w:b/>
          <w:bCs/>
          <w:sz w:val="40"/>
          <w:szCs w:val="48"/>
          <w:lang w:val="en-US" w:eastAsia="zh-CN"/>
        </w:rPr>
        <w:t>修订</w:t>
      </w:r>
      <w:r>
        <w:rPr>
          <w:rFonts w:hint="eastAsia" w:ascii="方正小标宋简体" w:hAnsi="方正小标宋简体" w:eastAsia="方正小标宋简体" w:cs="方正小标宋简体"/>
          <w:b/>
          <w:bCs/>
          <w:sz w:val="40"/>
          <w:szCs w:val="48"/>
        </w:rPr>
        <w:t>）</w:t>
      </w:r>
    </w:p>
    <w:p w14:paraId="7B1C81F4">
      <w:pPr>
        <w:jc w:val="left"/>
        <w:rPr>
          <w:rFonts w:ascii="宋体" w:hAnsi="宋体" w:eastAsia="宋体" w:cs="宋体"/>
          <w:b/>
          <w:bCs/>
          <w:sz w:val="28"/>
          <w:szCs w:val="28"/>
        </w:rPr>
      </w:pPr>
    </w:p>
    <w:p w14:paraId="243E8AD4">
      <w:pPr>
        <w:ind w:firstLine="560" w:firstLineChars="200"/>
        <w:rPr>
          <w:rFonts w:ascii="仿宋" w:hAnsi="仿宋" w:eastAsia="仿宋" w:cs="仿宋"/>
          <w:sz w:val="28"/>
          <w:szCs w:val="28"/>
        </w:rPr>
      </w:pPr>
      <w:r>
        <w:rPr>
          <w:rFonts w:hint="eastAsia" w:ascii="仿宋" w:hAnsi="仿宋" w:eastAsia="仿宋" w:cs="仿宋"/>
          <w:sz w:val="28"/>
          <w:szCs w:val="28"/>
        </w:rPr>
        <w:t>为深化研究生教育改革，进一步完善研究生助研考核体系，激发研究生学习和科研的积极性，提高研究生的教育质量，根据《浙江省财政厅浙江省教育厅关于做好研究生奖助工作的通知》（浙财教〔2014〕3号）和</w:t>
      </w:r>
      <w:r>
        <w:rPr>
          <w:rFonts w:hint="eastAsia" w:ascii="仿宋" w:hAnsi="仿宋" w:eastAsia="仿宋" w:cs="仿宋"/>
          <w:sz w:val="28"/>
          <w:szCs w:val="28"/>
          <w:lang w:val="en-US" w:eastAsia="zh-CN"/>
        </w:rPr>
        <w:t>学校</w:t>
      </w:r>
      <w:r>
        <w:rPr>
          <w:rFonts w:hint="eastAsia" w:ascii="仿宋" w:hAnsi="仿宋" w:eastAsia="仿宋" w:cs="仿宋"/>
          <w:sz w:val="28"/>
          <w:szCs w:val="28"/>
        </w:rPr>
        <w:t>相关文件要求，结合我院实际，特制订本办法。</w:t>
      </w:r>
    </w:p>
    <w:p w14:paraId="70F40366">
      <w:pPr>
        <w:numPr>
          <w:ilvl w:val="0"/>
          <w:numId w:val="1"/>
        </w:numPr>
        <w:ind w:firstLine="562" w:firstLineChars="200"/>
        <w:jc w:val="center"/>
        <w:rPr>
          <w:rFonts w:ascii="仿宋" w:hAnsi="仿宋" w:eastAsia="仿宋" w:cs="仿宋"/>
          <w:b/>
          <w:bCs/>
          <w:sz w:val="28"/>
          <w:szCs w:val="28"/>
        </w:rPr>
      </w:pPr>
      <w:r>
        <w:rPr>
          <w:rFonts w:hint="eastAsia" w:ascii="仿宋" w:hAnsi="仿宋" w:eastAsia="仿宋" w:cs="仿宋"/>
          <w:b/>
          <w:bCs/>
          <w:sz w:val="28"/>
          <w:szCs w:val="28"/>
        </w:rPr>
        <w:t xml:space="preserve"> 总 则</w:t>
      </w:r>
    </w:p>
    <w:p w14:paraId="78BC791B">
      <w:pPr>
        <w:ind w:firstLine="562" w:firstLineChars="200"/>
        <w:jc w:val="left"/>
        <w:rPr>
          <w:rFonts w:ascii="仿宋" w:hAnsi="仿宋" w:eastAsia="仿宋" w:cs="仿宋"/>
          <w:sz w:val="28"/>
          <w:szCs w:val="28"/>
        </w:rPr>
      </w:pPr>
      <w:r>
        <w:rPr>
          <w:rFonts w:ascii="仿宋" w:hAnsi="仿宋" w:eastAsia="仿宋" w:cs="仿宋"/>
          <w:b/>
          <w:bCs/>
          <w:sz w:val="28"/>
          <w:szCs w:val="28"/>
        </w:rPr>
        <w:t>第一条</w:t>
      </w:r>
      <w:r>
        <w:rPr>
          <w:rFonts w:hint="eastAsia" w:ascii="仿宋" w:hAnsi="仿宋" w:eastAsia="仿宋" w:cs="仿宋"/>
          <w:sz w:val="28"/>
          <w:szCs w:val="28"/>
        </w:rPr>
        <w:t xml:space="preserve"> </w:t>
      </w:r>
      <w:r>
        <w:rPr>
          <w:rFonts w:ascii="仿宋" w:hAnsi="仿宋" w:eastAsia="仿宋" w:cs="仿宋"/>
          <w:sz w:val="28"/>
          <w:szCs w:val="28"/>
        </w:rPr>
        <w:t>为落实《浙江省财政厅浙江省教育厅关于做好研究生奖助工作的通知》（浙财教〔2014〕3号）和</w:t>
      </w:r>
      <w:r>
        <w:rPr>
          <w:rFonts w:hint="eastAsia" w:ascii="仿宋" w:hAnsi="仿宋" w:eastAsia="仿宋" w:cs="仿宋"/>
          <w:sz w:val="28"/>
          <w:szCs w:val="28"/>
          <w:lang w:val="en-US" w:eastAsia="zh-CN"/>
        </w:rPr>
        <w:t>学校关于</w:t>
      </w:r>
      <w:r>
        <w:rPr>
          <w:rFonts w:ascii="仿宋" w:hAnsi="仿宋" w:eastAsia="仿宋" w:cs="仿宋"/>
          <w:sz w:val="28"/>
          <w:szCs w:val="28"/>
        </w:rPr>
        <w:t>助研津贴相关政策，特制定本细则。</w:t>
      </w:r>
    </w:p>
    <w:p w14:paraId="43D23655">
      <w:pPr>
        <w:ind w:firstLine="562" w:firstLineChars="200"/>
        <w:jc w:val="left"/>
        <w:rPr>
          <w:rFonts w:ascii="仿宋" w:hAnsi="仿宋" w:eastAsia="仿宋" w:cs="仿宋"/>
          <w:sz w:val="28"/>
          <w:szCs w:val="28"/>
        </w:rPr>
      </w:pPr>
      <w:r>
        <w:rPr>
          <w:rFonts w:ascii="仿宋" w:hAnsi="仿宋" w:eastAsia="仿宋" w:cs="仿宋"/>
          <w:b/>
          <w:bCs/>
          <w:sz w:val="28"/>
          <w:szCs w:val="28"/>
        </w:rPr>
        <w:t>第二条</w:t>
      </w:r>
      <w:r>
        <w:rPr>
          <w:rFonts w:hint="eastAsia" w:ascii="仿宋" w:hAnsi="仿宋" w:eastAsia="仿宋" w:cs="仿宋"/>
          <w:sz w:val="28"/>
          <w:szCs w:val="28"/>
        </w:rPr>
        <w:t xml:space="preserve"> </w:t>
      </w:r>
      <w:r>
        <w:rPr>
          <w:rFonts w:ascii="仿宋" w:hAnsi="仿宋" w:eastAsia="仿宋" w:cs="仿宋"/>
          <w:sz w:val="28"/>
          <w:szCs w:val="28"/>
        </w:rPr>
        <w:t>研究生参与助研工作的管理、考核及津贴发放工作由</w:t>
      </w:r>
      <w:r>
        <w:rPr>
          <w:rFonts w:hint="eastAsia" w:ascii="仿宋" w:hAnsi="仿宋" w:eastAsia="仿宋" w:cs="仿宋"/>
          <w:sz w:val="28"/>
          <w:szCs w:val="28"/>
        </w:rPr>
        <w:t>研究生院</w:t>
      </w:r>
      <w:r>
        <w:rPr>
          <w:rFonts w:ascii="仿宋" w:hAnsi="仿宋" w:eastAsia="仿宋" w:cs="仿宋"/>
          <w:sz w:val="28"/>
          <w:szCs w:val="28"/>
        </w:rPr>
        <w:t>负责组织</w:t>
      </w:r>
      <w:r>
        <w:rPr>
          <w:rFonts w:hint="eastAsia" w:ascii="仿宋" w:hAnsi="仿宋" w:eastAsia="仿宋" w:cs="仿宋"/>
          <w:sz w:val="28"/>
          <w:szCs w:val="28"/>
          <w:lang w:eastAsia="zh-CN"/>
        </w:rPr>
        <w:t>、</w:t>
      </w:r>
      <w:r>
        <w:rPr>
          <w:rFonts w:ascii="仿宋" w:hAnsi="仿宋" w:eastAsia="仿宋" w:cs="仿宋"/>
          <w:sz w:val="28"/>
          <w:szCs w:val="28"/>
        </w:rPr>
        <w:t>协调、实施。学院研究生</w:t>
      </w:r>
      <w:r>
        <w:rPr>
          <w:rFonts w:hint="eastAsia" w:ascii="仿宋" w:hAnsi="仿宋" w:eastAsia="仿宋" w:cs="仿宋"/>
          <w:sz w:val="28"/>
          <w:szCs w:val="28"/>
          <w:lang w:val="en-US" w:eastAsia="zh-CN"/>
        </w:rPr>
        <w:t>工作组</w:t>
      </w:r>
      <w:r>
        <w:rPr>
          <w:rFonts w:ascii="仿宋" w:hAnsi="仿宋" w:eastAsia="仿宋" w:cs="仿宋"/>
          <w:sz w:val="28"/>
          <w:szCs w:val="28"/>
        </w:rPr>
        <w:t>具体负责组织本单位的助研</w:t>
      </w:r>
      <w:r>
        <w:rPr>
          <w:rFonts w:hint="eastAsia" w:ascii="仿宋" w:hAnsi="仿宋" w:eastAsia="仿宋" w:cs="仿宋"/>
          <w:sz w:val="28"/>
          <w:szCs w:val="28"/>
        </w:rPr>
        <w:t>考核</w:t>
      </w:r>
      <w:r>
        <w:rPr>
          <w:rFonts w:ascii="仿宋" w:hAnsi="仿宋" w:eastAsia="仿宋" w:cs="仿宋"/>
          <w:sz w:val="28"/>
          <w:szCs w:val="28"/>
        </w:rPr>
        <w:t>工作。</w:t>
      </w:r>
    </w:p>
    <w:p w14:paraId="365D62CD">
      <w:pPr>
        <w:ind w:firstLine="562" w:firstLineChars="200"/>
        <w:jc w:val="left"/>
        <w:rPr>
          <w:rFonts w:ascii="仿宋" w:hAnsi="仿宋" w:eastAsia="仿宋" w:cs="仿宋"/>
          <w:sz w:val="28"/>
          <w:szCs w:val="28"/>
        </w:rPr>
      </w:pPr>
      <w:r>
        <w:rPr>
          <w:rFonts w:ascii="仿宋" w:hAnsi="仿宋" w:eastAsia="仿宋" w:cs="仿宋"/>
          <w:b/>
          <w:bCs/>
          <w:sz w:val="28"/>
          <w:szCs w:val="28"/>
        </w:rPr>
        <w:t>第三条</w:t>
      </w:r>
      <w:r>
        <w:rPr>
          <w:rFonts w:hint="eastAsia" w:ascii="仿宋" w:hAnsi="仿宋" w:eastAsia="仿宋" w:cs="仿宋"/>
          <w:sz w:val="28"/>
          <w:szCs w:val="28"/>
        </w:rPr>
        <w:t xml:space="preserve"> </w:t>
      </w:r>
      <w:r>
        <w:rPr>
          <w:rFonts w:ascii="仿宋" w:hAnsi="仿宋" w:eastAsia="仿宋" w:cs="仿宋"/>
          <w:sz w:val="28"/>
          <w:szCs w:val="28"/>
        </w:rPr>
        <w:t>研究生助研岗位的设立，是研究生教育综合改革的重要组成部分，是加强研究生培养科研导向的重要举措。</w:t>
      </w:r>
      <w:r>
        <w:rPr>
          <w:rFonts w:hint="eastAsia" w:ascii="仿宋" w:hAnsi="仿宋" w:eastAsia="仿宋" w:cs="仿宋"/>
          <w:sz w:val="28"/>
          <w:szCs w:val="28"/>
        </w:rPr>
        <w:t>学院</w:t>
      </w:r>
      <w:r>
        <w:rPr>
          <w:rFonts w:ascii="仿宋" w:hAnsi="仿宋" w:eastAsia="仿宋" w:cs="仿宋"/>
          <w:sz w:val="28"/>
          <w:szCs w:val="28"/>
        </w:rPr>
        <w:t>要高度重视、精心组织，避免把助研工作单纯作为济困助学渠道的倾向。对从事助研工作的研究生，要明确其岗位职责，完善制度，严格要求，加强考核。</w:t>
      </w:r>
    </w:p>
    <w:p w14:paraId="713E96FD">
      <w:pPr>
        <w:ind w:firstLine="562" w:firstLineChars="200"/>
        <w:jc w:val="left"/>
        <w:rPr>
          <w:rFonts w:ascii="仿宋" w:hAnsi="仿宋" w:eastAsia="仿宋" w:cs="仿宋"/>
          <w:sz w:val="28"/>
          <w:szCs w:val="28"/>
        </w:rPr>
      </w:pPr>
      <w:r>
        <w:rPr>
          <w:rFonts w:hint="eastAsia" w:ascii="仿宋" w:hAnsi="仿宋" w:eastAsia="仿宋" w:cs="仿宋"/>
          <w:b/>
          <w:bCs/>
          <w:sz w:val="28"/>
          <w:szCs w:val="28"/>
        </w:rPr>
        <w:t>第四条</w:t>
      </w:r>
      <w:r>
        <w:rPr>
          <w:rFonts w:hint="eastAsia" w:ascii="仿宋" w:hAnsi="仿宋" w:eastAsia="仿宋" w:cs="仿宋"/>
          <w:sz w:val="28"/>
          <w:szCs w:val="28"/>
        </w:rPr>
        <w:t xml:space="preserve"> 研究生助研考核应坚持公开、公平、公正的原则，杜绝弄虚作假。</w:t>
      </w:r>
    </w:p>
    <w:p w14:paraId="7CADD193">
      <w:pPr>
        <w:numPr>
          <w:ilvl w:val="0"/>
          <w:numId w:val="1"/>
        </w:numPr>
        <w:ind w:firstLine="562" w:firstLineChars="200"/>
        <w:jc w:val="center"/>
        <w:rPr>
          <w:rFonts w:ascii="仿宋" w:hAnsi="仿宋" w:eastAsia="仿宋" w:cs="仿宋"/>
          <w:b/>
          <w:bCs/>
          <w:sz w:val="28"/>
          <w:szCs w:val="28"/>
        </w:rPr>
      </w:pPr>
      <w:r>
        <w:rPr>
          <w:rFonts w:hint="eastAsia" w:ascii="仿宋" w:hAnsi="仿宋" w:eastAsia="仿宋" w:cs="仿宋"/>
          <w:b/>
          <w:bCs/>
          <w:sz w:val="28"/>
          <w:szCs w:val="28"/>
        </w:rPr>
        <w:t xml:space="preserve"> 组织实施</w:t>
      </w:r>
    </w:p>
    <w:p w14:paraId="7DF6EDB4">
      <w:pPr>
        <w:ind w:firstLine="562" w:firstLineChars="200"/>
        <w:jc w:val="left"/>
        <w:rPr>
          <w:rFonts w:ascii="仿宋" w:hAnsi="仿宋" w:eastAsia="仿宋" w:cs="仿宋"/>
          <w:sz w:val="28"/>
          <w:szCs w:val="28"/>
        </w:rPr>
      </w:pPr>
      <w:r>
        <w:rPr>
          <w:rFonts w:hint="eastAsia" w:ascii="仿宋" w:hAnsi="仿宋" w:eastAsia="仿宋" w:cs="仿宋"/>
          <w:b/>
          <w:bCs/>
          <w:sz w:val="28"/>
          <w:szCs w:val="28"/>
        </w:rPr>
        <w:t>第五条</w:t>
      </w:r>
      <w:r>
        <w:rPr>
          <w:rFonts w:hint="eastAsia" w:ascii="仿宋" w:hAnsi="仿宋" w:eastAsia="仿宋" w:cs="仿宋"/>
          <w:sz w:val="28"/>
          <w:szCs w:val="28"/>
        </w:rPr>
        <w:t xml:space="preserve"> 校研究生院负责学校研究生助研考核的领导、协调、监督工作，学院研究生</w:t>
      </w:r>
      <w:r>
        <w:rPr>
          <w:rFonts w:hint="eastAsia" w:ascii="仿宋" w:hAnsi="仿宋" w:eastAsia="仿宋" w:cs="仿宋"/>
          <w:sz w:val="28"/>
          <w:szCs w:val="28"/>
          <w:lang w:val="en-US" w:eastAsia="zh-CN"/>
        </w:rPr>
        <w:t>工作组</w:t>
      </w:r>
      <w:r>
        <w:rPr>
          <w:rFonts w:hint="eastAsia" w:ascii="仿宋" w:hAnsi="仿宋" w:eastAsia="仿宋" w:cs="仿宋"/>
          <w:sz w:val="28"/>
          <w:szCs w:val="28"/>
        </w:rPr>
        <w:t>具体负责组织本单位的助研考核的组织实施。</w:t>
      </w:r>
    </w:p>
    <w:p w14:paraId="50CEF7B4">
      <w:pPr>
        <w:ind w:firstLine="562" w:firstLineChars="200"/>
        <w:jc w:val="left"/>
        <w:rPr>
          <w:rFonts w:ascii="仿宋" w:hAnsi="仿宋" w:eastAsia="仿宋" w:cs="仿宋"/>
          <w:sz w:val="28"/>
          <w:szCs w:val="28"/>
        </w:rPr>
      </w:pPr>
      <w:r>
        <w:rPr>
          <w:rFonts w:hint="eastAsia" w:ascii="仿宋" w:hAnsi="仿宋" w:eastAsia="仿宋" w:cs="仿宋"/>
          <w:b/>
          <w:bCs/>
          <w:sz w:val="28"/>
          <w:szCs w:val="28"/>
        </w:rPr>
        <w:t xml:space="preserve">第六条 </w:t>
      </w:r>
      <w:r>
        <w:rPr>
          <w:rFonts w:hint="eastAsia" w:ascii="仿宋" w:hAnsi="仿宋" w:eastAsia="仿宋" w:cs="仿宋"/>
          <w:sz w:val="28"/>
          <w:szCs w:val="28"/>
        </w:rPr>
        <w:t>学院设岗导师或导师小组所在的学位点，组成3－5人的考核小组，职责如下：</w:t>
      </w:r>
    </w:p>
    <w:p w14:paraId="7EB63909">
      <w:pPr>
        <w:ind w:firstLine="560" w:firstLineChars="200"/>
        <w:jc w:val="left"/>
        <w:rPr>
          <w:rFonts w:ascii="仿宋" w:hAnsi="仿宋" w:eastAsia="仿宋" w:cs="仿宋"/>
          <w:sz w:val="28"/>
          <w:szCs w:val="28"/>
        </w:rPr>
      </w:pPr>
      <w:r>
        <w:rPr>
          <w:rFonts w:hint="eastAsia" w:ascii="仿宋" w:hAnsi="仿宋" w:eastAsia="仿宋" w:cs="仿宋"/>
          <w:sz w:val="28"/>
          <w:szCs w:val="28"/>
        </w:rPr>
        <w:t>1.结合学位点实际制定研究生助研考核细则；</w:t>
      </w:r>
    </w:p>
    <w:p w14:paraId="658D3042">
      <w:pPr>
        <w:ind w:firstLine="560" w:firstLineChars="200"/>
        <w:jc w:val="left"/>
        <w:rPr>
          <w:rFonts w:ascii="仿宋" w:hAnsi="仿宋" w:eastAsia="仿宋" w:cs="仿宋"/>
          <w:sz w:val="28"/>
          <w:szCs w:val="28"/>
        </w:rPr>
      </w:pPr>
      <w:r>
        <w:rPr>
          <w:rFonts w:hint="eastAsia" w:ascii="仿宋" w:hAnsi="仿宋" w:eastAsia="仿宋" w:cs="仿宋"/>
          <w:sz w:val="28"/>
          <w:szCs w:val="28"/>
        </w:rPr>
        <w:t>2.组织部署本单位研究生助研考核工作；</w:t>
      </w:r>
    </w:p>
    <w:p w14:paraId="2A278931">
      <w:pPr>
        <w:ind w:firstLine="560" w:firstLineChars="200"/>
        <w:jc w:val="left"/>
        <w:rPr>
          <w:rFonts w:ascii="仿宋" w:hAnsi="仿宋" w:eastAsia="仿宋" w:cs="仿宋"/>
          <w:sz w:val="28"/>
          <w:szCs w:val="28"/>
        </w:rPr>
      </w:pPr>
      <w:r>
        <w:rPr>
          <w:rFonts w:hint="eastAsia" w:ascii="仿宋" w:hAnsi="仿宋" w:eastAsia="仿宋" w:cs="仿宋"/>
          <w:sz w:val="28"/>
          <w:szCs w:val="28"/>
        </w:rPr>
        <w:t>3.对本单位研究生助研考核工作实施监督和指导；</w:t>
      </w:r>
    </w:p>
    <w:p w14:paraId="6623FCD2">
      <w:pPr>
        <w:ind w:firstLine="560" w:firstLineChars="200"/>
        <w:jc w:val="left"/>
        <w:rPr>
          <w:rFonts w:ascii="仿宋" w:hAnsi="仿宋" w:eastAsia="仿宋" w:cs="仿宋"/>
          <w:sz w:val="28"/>
          <w:szCs w:val="28"/>
        </w:rPr>
      </w:pPr>
      <w:r>
        <w:rPr>
          <w:rFonts w:hint="eastAsia" w:ascii="仿宋" w:hAnsi="仿宋" w:eastAsia="仿宋" w:cs="仿宋"/>
          <w:sz w:val="28"/>
          <w:szCs w:val="28"/>
        </w:rPr>
        <w:t>4.裁决本单位研究生助研考核纠纷，做好考核过程中研究生的思想教育工作和解释工作。</w:t>
      </w:r>
    </w:p>
    <w:p w14:paraId="74ABCA24">
      <w:pPr>
        <w:ind w:firstLine="560" w:firstLineChars="200"/>
        <w:jc w:val="left"/>
        <w:rPr>
          <w:rFonts w:ascii="仿宋" w:hAnsi="仿宋" w:eastAsia="仿宋" w:cs="仿宋"/>
          <w:sz w:val="28"/>
          <w:szCs w:val="28"/>
        </w:rPr>
      </w:pPr>
      <w:r>
        <w:rPr>
          <w:rFonts w:hint="eastAsia" w:ascii="仿宋" w:hAnsi="仿宋" w:eastAsia="仿宋" w:cs="仿宋"/>
          <w:sz w:val="28"/>
          <w:szCs w:val="28"/>
        </w:rPr>
        <w:t>5.审定、上报研究生助研考核结果。</w:t>
      </w:r>
    </w:p>
    <w:p w14:paraId="1893C273">
      <w:pPr>
        <w:keepNext w:val="0"/>
        <w:keepLines w:val="0"/>
        <w:pageBreakBefore w:val="0"/>
        <w:widowControl w:val="0"/>
        <w:kinsoku/>
        <w:wordWrap/>
        <w:overflowPunct w:val="0"/>
        <w:topLinePunct w:val="0"/>
        <w:autoSpaceDE/>
        <w:autoSpaceDN/>
        <w:bidi w:val="0"/>
        <w:adjustRightInd/>
        <w:snapToGrid/>
        <w:ind w:firstLine="562" w:firstLineChars="200"/>
        <w:jc w:val="left"/>
        <w:textAlignment w:val="auto"/>
        <w:rPr>
          <w:rFonts w:ascii="仿宋" w:hAnsi="仿宋" w:eastAsia="仿宋" w:cs="仿宋"/>
          <w:sz w:val="28"/>
          <w:szCs w:val="28"/>
        </w:rPr>
      </w:pPr>
      <w:r>
        <w:rPr>
          <w:rFonts w:hint="eastAsia" w:ascii="仿宋" w:hAnsi="仿宋" w:eastAsia="仿宋" w:cs="仿宋"/>
          <w:b/>
          <w:bCs/>
          <w:sz w:val="28"/>
          <w:szCs w:val="28"/>
        </w:rPr>
        <w:t xml:space="preserve">第七条 </w:t>
      </w:r>
      <w:r>
        <w:rPr>
          <w:rFonts w:hint="eastAsia" w:ascii="仿宋" w:hAnsi="仿宋" w:eastAsia="仿宋" w:cs="仿宋"/>
          <w:sz w:val="28"/>
          <w:szCs w:val="28"/>
        </w:rPr>
        <w:t>对于聘期结束的助研研究生，需参加学院考核。考核以学位点为单位，每年进行两次考核，分别在每年的3月份和9月份。各学位点考核结果认定为“优秀”的助研研究生人数要求不多于学位点考核人数的60%，考核结果认定为“良好”的助研研究生人数要求不多于学位点考核人数的25%。若同一学位点在不同学院有助研，由各学院自行组织考核。</w:t>
      </w:r>
    </w:p>
    <w:p w14:paraId="5ECE2F08">
      <w:pPr>
        <w:keepNext w:val="0"/>
        <w:keepLines w:val="0"/>
        <w:pageBreakBefore w:val="0"/>
        <w:widowControl w:val="0"/>
        <w:kinsoku/>
        <w:wordWrap/>
        <w:overflowPunct w:val="0"/>
        <w:topLinePunct w:val="0"/>
        <w:autoSpaceDE/>
        <w:autoSpaceDN/>
        <w:bidi w:val="0"/>
        <w:adjustRightInd/>
        <w:snapToGrid/>
        <w:ind w:firstLine="562" w:firstLineChars="200"/>
        <w:jc w:val="left"/>
        <w:textAlignment w:val="auto"/>
        <w:rPr>
          <w:rFonts w:ascii="仿宋" w:hAnsi="仿宋" w:eastAsia="仿宋" w:cs="仿宋"/>
          <w:sz w:val="28"/>
          <w:szCs w:val="28"/>
        </w:rPr>
      </w:pPr>
      <w:r>
        <w:rPr>
          <w:rFonts w:hint="eastAsia" w:ascii="仿宋" w:hAnsi="仿宋" w:eastAsia="仿宋" w:cs="仿宋"/>
          <w:b/>
          <w:bCs/>
          <w:sz w:val="28"/>
          <w:szCs w:val="28"/>
        </w:rPr>
        <w:t>第八条</w:t>
      </w:r>
      <w:r>
        <w:rPr>
          <w:rFonts w:hint="eastAsia" w:ascii="仿宋" w:hAnsi="仿宋" w:eastAsia="仿宋" w:cs="仿宋"/>
          <w:sz w:val="28"/>
          <w:szCs w:val="28"/>
        </w:rPr>
        <w:t xml:space="preserve"> 学院按照学位点分类汇总聘期结束助研研究生的学院考核结果，在本单位网站公示</w:t>
      </w:r>
      <w:r>
        <w:rPr>
          <w:rFonts w:ascii="仿宋" w:hAnsi="仿宋" w:eastAsia="仿宋" w:cs="仿宋"/>
          <w:sz w:val="28"/>
          <w:szCs w:val="28"/>
        </w:rPr>
        <w:t>3</w:t>
      </w:r>
      <w:r>
        <w:rPr>
          <w:rFonts w:hint="eastAsia" w:ascii="仿宋" w:hAnsi="仿宋" w:eastAsia="仿宋" w:cs="仿宋"/>
          <w:sz w:val="28"/>
          <w:szCs w:val="28"/>
        </w:rPr>
        <w:t>个工作日。公示无异议后，把学院考核结果报研究生院备案。</w:t>
      </w:r>
    </w:p>
    <w:p w14:paraId="7F4F7DDE">
      <w:pPr>
        <w:ind w:firstLine="562" w:firstLineChars="200"/>
        <w:jc w:val="left"/>
        <w:rPr>
          <w:rFonts w:ascii="仿宋" w:hAnsi="仿宋" w:eastAsia="仿宋" w:cs="仿宋"/>
          <w:sz w:val="28"/>
          <w:szCs w:val="28"/>
        </w:rPr>
      </w:pPr>
      <w:r>
        <w:rPr>
          <w:rFonts w:hint="eastAsia" w:ascii="仿宋" w:hAnsi="仿宋" w:eastAsia="仿宋" w:cs="仿宋"/>
          <w:b/>
          <w:bCs/>
          <w:sz w:val="28"/>
          <w:szCs w:val="28"/>
        </w:rPr>
        <w:t>第九条</w:t>
      </w:r>
      <w:r>
        <w:rPr>
          <w:rFonts w:hint="eastAsia" w:ascii="仿宋" w:hAnsi="仿宋" w:eastAsia="仿宋" w:cs="仿宋"/>
          <w:sz w:val="28"/>
          <w:szCs w:val="28"/>
        </w:rPr>
        <w:t xml:space="preserve"> 学校对学位点是否实现本领域研究生高水平代表性成果承诺目标进行中期答辩。答辩通过的学位点，学院考核结果认定为“优秀”、“良好”的助研研究生，学校同意发放助研津贴配套部分。答辩未通过的学位点，仅对学院考核结果认定为“优秀”的助研研究生，学校同意发放助研津贴配套部分。</w:t>
      </w:r>
    </w:p>
    <w:p w14:paraId="50371CC5">
      <w:pPr>
        <w:numPr>
          <w:ilvl w:val="0"/>
          <w:numId w:val="1"/>
        </w:numPr>
        <w:ind w:firstLine="562" w:firstLineChars="200"/>
        <w:jc w:val="center"/>
        <w:rPr>
          <w:rFonts w:ascii="仿宋" w:hAnsi="仿宋" w:eastAsia="仿宋" w:cs="仿宋"/>
          <w:b/>
          <w:bCs/>
          <w:sz w:val="28"/>
          <w:szCs w:val="28"/>
        </w:rPr>
      </w:pPr>
      <w:r>
        <w:rPr>
          <w:rFonts w:hint="eastAsia" w:ascii="仿宋" w:hAnsi="仿宋" w:eastAsia="仿宋" w:cs="仿宋"/>
          <w:b/>
          <w:bCs/>
          <w:sz w:val="28"/>
          <w:szCs w:val="28"/>
        </w:rPr>
        <w:t xml:space="preserve"> 考核细则</w:t>
      </w:r>
    </w:p>
    <w:p w14:paraId="3C188EEB">
      <w:pPr>
        <w:spacing w:line="560" w:lineRule="exact"/>
        <w:ind w:firstLine="562" w:firstLineChars="200"/>
        <w:rPr>
          <w:rFonts w:hint="eastAsia" w:ascii="仿宋" w:hAnsi="仿宋" w:eastAsia="仿宋" w:cs="仿宋"/>
          <w:sz w:val="28"/>
          <w:szCs w:val="28"/>
        </w:rPr>
      </w:pPr>
      <w:r>
        <w:rPr>
          <w:rFonts w:hint="eastAsia" w:ascii="仿宋" w:hAnsi="仿宋" w:eastAsia="仿宋" w:cs="仿宋"/>
          <w:b/>
          <w:bCs/>
          <w:sz w:val="28"/>
          <w:szCs w:val="28"/>
        </w:rPr>
        <w:t>第十条</w:t>
      </w:r>
      <w:r>
        <w:rPr>
          <w:rFonts w:hint="eastAsia" w:eastAsia="仿宋"/>
          <w:kern w:val="0"/>
          <w:szCs w:val="32"/>
        </w:rPr>
        <w:t xml:space="preserve"> </w:t>
      </w:r>
      <w:r>
        <w:rPr>
          <w:rFonts w:hint="eastAsia" w:ascii="仿宋" w:hAnsi="仿宋" w:eastAsia="仿宋" w:cs="仿宋"/>
          <w:sz w:val="28"/>
          <w:szCs w:val="28"/>
        </w:rPr>
        <w:t>研究生助研考核指标体系由科研、学科竞赛、</w:t>
      </w:r>
      <w:r>
        <w:rPr>
          <w:rFonts w:hint="eastAsia" w:ascii="仿宋" w:hAnsi="仿宋" w:eastAsia="仿宋" w:cs="仿宋"/>
          <w:sz w:val="28"/>
          <w:szCs w:val="28"/>
          <w:lang w:val="en-US" w:eastAsia="zh-CN"/>
        </w:rPr>
        <w:t>成绩分</w:t>
      </w:r>
      <w:r>
        <w:rPr>
          <w:rFonts w:hint="eastAsia" w:ascii="仿宋" w:hAnsi="仿宋" w:eastAsia="仿宋" w:cs="仿宋"/>
          <w:sz w:val="28"/>
          <w:szCs w:val="28"/>
        </w:rPr>
        <w:t>三个模块组成。</w:t>
      </w:r>
    </w:p>
    <w:p w14:paraId="4671E8FD">
      <w:pPr>
        <w:spacing w:line="560" w:lineRule="exact"/>
        <w:ind w:firstLine="560" w:firstLineChars="200"/>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助研考核总分=科研分+学科竞赛分+成绩分</w:t>
      </w:r>
    </w:p>
    <w:p w14:paraId="35029D77">
      <w:pPr>
        <w:spacing w:line="560" w:lineRule="exact"/>
        <w:ind w:firstLine="562" w:firstLineChars="200"/>
        <w:rPr>
          <w:rFonts w:eastAsia="仿宋"/>
          <w:kern w:val="0"/>
          <w:szCs w:val="32"/>
        </w:rPr>
      </w:pPr>
      <w:r>
        <w:rPr>
          <w:rFonts w:hint="eastAsia" w:ascii="仿宋" w:hAnsi="仿宋" w:eastAsia="仿宋" w:cs="仿宋"/>
          <w:b/>
          <w:bCs/>
          <w:sz w:val="28"/>
          <w:szCs w:val="28"/>
        </w:rPr>
        <w:t xml:space="preserve">第十一条 </w:t>
      </w:r>
      <w:r>
        <w:rPr>
          <w:rFonts w:hint="eastAsia" w:ascii="仿宋" w:hAnsi="仿宋" w:eastAsia="仿宋" w:cs="仿宋"/>
          <w:sz w:val="28"/>
          <w:szCs w:val="28"/>
        </w:rPr>
        <w:t>科研</w:t>
      </w:r>
    </w:p>
    <w:p w14:paraId="5621733B">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科研分=科研项目分＋科研成果分</w:t>
      </w:r>
    </w:p>
    <w:p w14:paraId="68A1E58D">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1．科研项目</w:t>
      </w:r>
    </w:p>
    <w:p w14:paraId="3E68D424">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（1）主持科研项目：研究生主持的科研项目获得立项的，根据项目层次高低计分，具体标准如下：</w:t>
      </w:r>
    </w:p>
    <w:p w14:paraId="3145E32C">
      <w:pPr>
        <w:spacing w:line="560" w:lineRule="exact"/>
        <w:jc w:val="center"/>
        <w:rPr>
          <w:rFonts w:eastAsia="仿宋"/>
          <w:b/>
          <w:bCs/>
          <w:kern w:val="0"/>
          <w:szCs w:val="32"/>
        </w:rPr>
      </w:pPr>
      <w:r>
        <w:rPr>
          <w:rFonts w:hint="eastAsia" w:eastAsia="仿宋"/>
          <w:b/>
          <w:bCs/>
          <w:kern w:val="0"/>
          <w:szCs w:val="32"/>
        </w:rPr>
        <w:t>表</w:t>
      </w:r>
      <w:r>
        <w:rPr>
          <w:rFonts w:hint="eastAsia" w:eastAsia="仿宋"/>
          <w:b/>
          <w:bCs/>
          <w:kern w:val="0"/>
          <w:szCs w:val="32"/>
          <w:lang w:val="en-US" w:eastAsia="zh-CN"/>
        </w:rPr>
        <w:t>1</w:t>
      </w:r>
      <w:r>
        <w:rPr>
          <w:rFonts w:hint="eastAsia" w:eastAsia="仿宋"/>
          <w:b/>
          <w:bCs/>
          <w:kern w:val="0"/>
          <w:szCs w:val="32"/>
        </w:rPr>
        <w:t xml:space="preserve"> 科研项目计分参照标准</w:t>
      </w:r>
    </w:p>
    <w:tbl>
      <w:tblPr>
        <w:tblStyle w:val="5"/>
        <w:tblW w:w="7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684"/>
        <w:gridCol w:w="1624"/>
        <w:gridCol w:w="1625"/>
        <w:gridCol w:w="1625"/>
      </w:tblGrid>
      <w:tr w14:paraId="5650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4" w:hRule="atLeast"/>
          <w:jc w:val="center"/>
        </w:trPr>
        <w:tc>
          <w:tcPr>
            <w:tcW w:w="2684" w:type="dxa"/>
            <w:vAlign w:val="center"/>
          </w:tcPr>
          <w:p w14:paraId="7C7DFAAE">
            <w:pPr>
              <w:jc w:val="center"/>
              <w:rPr>
                <w:rFonts w:ascii="仿宋" w:hAnsi="仿宋" w:eastAsia="仿宋" w:cs="仿宋"/>
                <w:szCs w:val="21"/>
              </w:rPr>
            </w:pPr>
            <w:r>
              <w:rPr>
                <w:rFonts w:hint="eastAsia" w:ascii="仿宋" w:hAnsi="仿宋" w:eastAsia="仿宋" w:cs="仿宋"/>
                <w:szCs w:val="21"/>
              </w:rPr>
              <w:t>等级</w:t>
            </w:r>
          </w:p>
        </w:tc>
        <w:tc>
          <w:tcPr>
            <w:tcW w:w="1624" w:type="dxa"/>
            <w:vAlign w:val="center"/>
          </w:tcPr>
          <w:p w14:paraId="01BEE2DA">
            <w:pPr>
              <w:jc w:val="center"/>
              <w:rPr>
                <w:rFonts w:ascii="仿宋" w:hAnsi="仿宋" w:eastAsia="仿宋" w:cs="仿宋"/>
                <w:szCs w:val="21"/>
              </w:rPr>
            </w:pPr>
            <w:r>
              <w:rPr>
                <w:rFonts w:hint="eastAsia" w:ascii="仿宋" w:hAnsi="仿宋" w:eastAsia="仿宋" w:cs="仿宋"/>
                <w:szCs w:val="21"/>
              </w:rPr>
              <w:t>国家级</w:t>
            </w:r>
          </w:p>
        </w:tc>
        <w:tc>
          <w:tcPr>
            <w:tcW w:w="1625" w:type="dxa"/>
            <w:vAlign w:val="center"/>
          </w:tcPr>
          <w:p w14:paraId="3EA9DFD3">
            <w:pPr>
              <w:jc w:val="center"/>
              <w:rPr>
                <w:rFonts w:ascii="仿宋" w:hAnsi="仿宋" w:eastAsia="仿宋" w:cs="仿宋"/>
                <w:szCs w:val="21"/>
              </w:rPr>
            </w:pPr>
            <w:r>
              <w:rPr>
                <w:rFonts w:hint="eastAsia" w:ascii="仿宋" w:hAnsi="仿宋" w:eastAsia="仿宋" w:cs="仿宋"/>
                <w:szCs w:val="21"/>
              </w:rPr>
              <w:t>省部级</w:t>
            </w:r>
          </w:p>
        </w:tc>
        <w:tc>
          <w:tcPr>
            <w:tcW w:w="1625" w:type="dxa"/>
            <w:vAlign w:val="center"/>
          </w:tcPr>
          <w:p w14:paraId="4A824D31">
            <w:pPr>
              <w:jc w:val="center"/>
              <w:rPr>
                <w:rFonts w:ascii="仿宋" w:hAnsi="仿宋" w:eastAsia="仿宋" w:cs="仿宋"/>
                <w:szCs w:val="21"/>
              </w:rPr>
            </w:pPr>
            <w:r>
              <w:rPr>
                <w:rFonts w:hint="eastAsia" w:ascii="仿宋" w:hAnsi="仿宋" w:eastAsia="仿宋" w:cs="仿宋"/>
                <w:szCs w:val="21"/>
              </w:rPr>
              <w:t>校级</w:t>
            </w:r>
          </w:p>
        </w:tc>
      </w:tr>
      <w:tr w14:paraId="7470D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9" w:hRule="atLeast"/>
          <w:jc w:val="center"/>
        </w:trPr>
        <w:tc>
          <w:tcPr>
            <w:tcW w:w="2684" w:type="dxa"/>
            <w:vAlign w:val="center"/>
          </w:tcPr>
          <w:p w14:paraId="25A91EC3">
            <w:pPr>
              <w:jc w:val="center"/>
              <w:rPr>
                <w:rFonts w:ascii="仿宋" w:hAnsi="仿宋" w:eastAsia="仿宋" w:cs="仿宋"/>
                <w:szCs w:val="21"/>
              </w:rPr>
            </w:pPr>
            <w:r>
              <w:rPr>
                <w:rFonts w:hint="eastAsia" w:ascii="仿宋" w:hAnsi="仿宋" w:eastAsia="仿宋" w:cs="仿宋"/>
                <w:szCs w:val="21"/>
              </w:rPr>
              <w:t>分值（分/项）</w:t>
            </w:r>
          </w:p>
        </w:tc>
        <w:tc>
          <w:tcPr>
            <w:tcW w:w="1624" w:type="dxa"/>
            <w:vAlign w:val="center"/>
          </w:tcPr>
          <w:p w14:paraId="4C40D099">
            <w:pPr>
              <w:jc w:val="center"/>
              <w:rPr>
                <w:rFonts w:ascii="仿宋" w:hAnsi="仿宋" w:eastAsia="仿宋" w:cs="仿宋"/>
                <w:szCs w:val="21"/>
              </w:rPr>
            </w:pPr>
            <w:r>
              <w:rPr>
                <w:rFonts w:hint="eastAsia" w:ascii="仿宋" w:hAnsi="仿宋" w:eastAsia="仿宋" w:cs="仿宋"/>
                <w:szCs w:val="21"/>
              </w:rPr>
              <w:t>40</w:t>
            </w:r>
          </w:p>
        </w:tc>
        <w:tc>
          <w:tcPr>
            <w:tcW w:w="1625" w:type="dxa"/>
            <w:vAlign w:val="center"/>
          </w:tcPr>
          <w:p w14:paraId="433A8CAB">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25</w:t>
            </w:r>
          </w:p>
        </w:tc>
        <w:tc>
          <w:tcPr>
            <w:tcW w:w="1625" w:type="dxa"/>
            <w:vAlign w:val="center"/>
          </w:tcPr>
          <w:p w14:paraId="2628838F">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10</w:t>
            </w:r>
          </w:p>
        </w:tc>
      </w:tr>
    </w:tbl>
    <w:p w14:paraId="0FD801C6">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同一项目获得不同级别立项的，以最高级别相应加分。行业协会立项项目降级加分。项目立项和结题时，各按对应等级标准的50%加分。</w:t>
      </w:r>
    </w:p>
    <w:p w14:paraId="14C9E620">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（2）参与科研项目：参与由导师主持的科研项目获得立项，按照不高于表</w:t>
      </w:r>
      <w:r>
        <w:rPr>
          <w:rFonts w:hint="eastAsia" w:ascii="仿宋" w:hAnsi="仿宋" w:eastAsia="仿宋" w:cs="仿宋"/>
          <w:sz w:val="28"/>
          <w:szCs w:val="28"/>
          <w:lang w:val="en-US" w:eastAsia="zh-CN"/>
        </w:rPr>
        <w:t>1</w:t>
      </w:r>
      <w:r>
        <w:rPr>
          <w:rFonts w:hint="eastAsia" w:ascii="仿宋" w:hAnsi="仿宋" w:eastAsia="仿宋" w:cs="仿宋"/>
          <w:sz w:val="28"/>
          <w:szCs w:val="28"/>
        </w:rPr>
        <w:t>对应等级标准的20%加分；参与由其他研究生主持的科研项目获得立项，参与成员以40%加分</w:t>
      </w:r>
      <w:r>
        <w:rPr>
          <w:rFonts w:hint="eastAsia" w:ascii="仿宋" w:hAnsi="仿宋" w:eastAsia="仿宋" w:cs="仿宋"/>
          <w:sz w:val="28"/>
          <w:szCs w:val="28"/>
          <w:lang w:eastAsia="zh-CN"/>
        </w:rPr>
        <w:t>（</w:t>
      </w:r>
      <w:r>
        <w:rPr>
          <w:rFonts w:hint="eastAsia" w:ascii="仿宋" w:hAnsi="仿宋" w:eastAsia="仿宋" w:cs="仿宋"/>
          <w:sz w:val="28"/>
          <w:szCs w:val="28"/>
        </w:rPr>
        <w:t>限前</w:t>
      </w:r>
      <w:r>
        <w:rPr>
          <w:rFonts w:hint="eastAsia" w:ascii="仿宋" w:hAnsi="仿宋" w:eastAsia="仿宋" w:cs="仿宋"/>
          <w:sz w:val="28"/>
          <w:szCs w:val="28"/>
          <w:lang w:val="en-US" w:eastAsia="zh-CN"/>
        </w:rPr>
        <w:t>3</w:t>
      </w:r>
      <w:r>
        <w:rPr>
          <w:rFonts w:hint="eastAsia" w:ascii="仿宋" w:hAnsi="仿宋" w:eastAsia="仿宋" w:cs="仿宋"/>
          <w:sz w:val="28"/>
          <w:szCs w:val="28"/>
        </w:rPr>
        <w:t>人</w:t>
      </w:r>
      <w:r>
        <w:rPr>
          <w:rFonts w:hint="eastAsia" w:ascii="仿宋" w:hAnsi="仿宋" w:eastAsia="仿宋" w:cs="仿宋"/>
          <w:sz w:val="28"/>
          <w:szCs w:val="28"/>
          <w:lang w:eastAsia="zh-CN"/>
        </w:rPr>
        <w:t>）</w:t>
      </w:r>
      <w:r>
        <w:rPr>
          <w:rFonts w:hint="eastAsia" w:ascii="仿宋" w:hAnsi="仿宋" w:eastAsia="仿宋" w:cs="仿宋"/>
          <w:sz w:val="28"/>
          <w:szCs w:val="28"/>
        </w:rPr>
        <w:t>。</w:t>
      </w:r>
    </w:p>
    <w:p w14:paraId="40474FCC">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2．科研成果</w:t>
      </w:r>
    </w:p>
    <w:p w14:paraId="37D06F8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研究生在本学科领域发表的科研成果可以计分，计分标准如下：</w:t>
      </w:r>
    </w:p>
    <w:p w14:paraId="265F84D1">
      <w:pPr>
        <w:spacing w:line="560" w:lineRule="exact"/>
        <w:jc w:val="center"/>
        <w:rPr>
          <w:rFonts w:hint="eastAsia" w:eastAsia="仿宋"/>
          <w:b/>
          <w:bCs/>
          <w:kern w:val="0"/>
          <w:szCs w:val="32"/>
        </w:rPr>
      </w:pPr>
      <w:r>
        <w:rPr>
          <w:rFonts w:hint="eastAsia" w:eastAsia="仿宋"/>
          <w:b/>
          <w:bCs/>
          <w:kern w:val="0"/>
          <w:szCs w:val="32"/>
        </w:rPr>
        <w:t>表</w:t>
      </w:r>
      <w:r>
        <w:rPr>
          <w:rFonts w:hint="eastAsia" w:eastAsia="仿宋"/>
          <w:b/>
          <w:bCs/>
          <w:kern w:val="0"/>
          <w:szCs w:val="32"/>
          <w:lang w:val="en-US" w:eastAsia="zh-CN"/>
        </w:rPr>
        <w:t>2</w:t>
      </w:r>
      <w:r>
        <w:rPr>
          <w:rFonts w:hint="eastAsia" w:eastAsia="仿宋"/>
          <w:b/>
          <w:bCs/>
          <w:kern w:val="0"/>
          <w:szCs w:val="32"/>
        </w:rPr>
        <w:t xml:space="preserve"> 科研成果计分参照标准</w:t>
      </w:r>
    </w:p>
    <w:tbl>
      <w:tblPr>
        <w:tblStyle w:val="5"/>
        <w:tblW w:w="8844"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54"/>
        <w:gridCol w:w="5783"/>
        <w:gridCol w:w="1307"/>
      </w:tblGrid>
      <w:tr w14:paraId="631A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trPr>
        <w:tc>
          <w:tcPr>
            <w:tcW w:w="1754" w:type="dxa"/>
            <w:vAlign w:val="center"/>
          </w:tcPr>
          <w:p w14:paraId="4BCA42F6">
            <w:pPr>
              <w:spacing w:line="360" w:lineRule="auto"/>
              <w:jc w:val="center"/>
              <w:rPr>
                <w:rFonts w:hint="eastAsia" w:ascii="仿宋" w:hAnsi="仿宋" w:eastAsia="仿宋" w:cs="仿宋"/>
                <w:szCs w:val="21"/>
              </w:rPr>
            </w:pPr>
            <w:r>
              <w:rPr>
                <w:rFonts w:hint="eastAsia" w:ascii="仿宋" w:hAnsi="仿宋" w:eastAsia="仿宋" w:cs="仿宋"/>
                <w:szCs w:val="21"/>
              </w:rPr>
              <w:t>项目</w:t>
            </w:r>
          </w:p>
        </w:tc>
        <w:tc>
          <w:tcPr>
            <w:tcW w:w="5783" w:type="dxa"/>
            <w:vAlign w:val="center"/>
          </w:tcPr>
          <w:p w14:paraId="65516508">
            <w:pPr>
              <w:spacing w:line="360" w:lineRule="auto"/>
              <w:jc w:val="center"/>
              <w:rPr>
                <w:rFonts w:hint="eastAsia" w:ascii="仿宋" w:hAnsi="仿宋" w:eastAsia="仿宋" w:cs="仿宋"/>
                <w:szCs w:val="21"/>
              </w:rPr>
            </w:pPr>
            <w:r>
              <w:rPr>
                <w:rFonts w:hint="eastAsia" w:ascii="仿宋" w:hAnsi="仿宋" w:eastAsia="仿宋" w:cs="仿宋"/>
                <w:szCs w:val="21"/>
              </w:rPr>
              <w:t>类别</w:t>
            </w:r>
          </w:p>
        </w:tc>
        <w:tc>
          <w:tcPr>
            <w:tcW w:w="1307" w:type="dxa"/>
            <w:vAlign w:val="center"/>
          </w:tcPr>
          <w:p w14:paraId="428BB44D">
            <w:pPr>
              <w:spacing w:line="360" w:lineRule="auto"/>
              <w:jc w:val="center"/>
              <w:rPr>
                <w:rFonts w:hint="eastAsia" w:ascii="仿宋" w:hAnsi="仿宋" w:eastAsia="仿宋" w:cs="仿宋"/>
                <w:szCs w:val="21"/>
              </w:rPr>
            </w:pPr>
            <w:r>
              <w:rPr>
                <w:rFonts w:hint="eastAsia" w:ascii="仿宋" w:hAnsi="仿宋" w:eastAsia="仿宋" w:cs="仿宋"/>
                <w:szCs w:val="21"/>
              </w:rPr>
              <w:t>分值（分/项）</w:t>
            </w:r>
          </w:p>
        </w:tc>
      </w:tr>
      <w:tr w14:paraId="6CDE5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restart"/>
            <w:vAlign w:val="center"/>
          </w:tcPr>
          <w:p w14:paraId="3DBDB0B1">
            <w:pPr>
              <w:spacing w:line="360" w:lineRule="auto"/>
              <w:jc w:val="center"/>
              <w:rPr>
                <w:rFonts w:hint="eastAsia" w:ascii="仿宋" w:hAnsi="仿宋" w:eastAsia="仿宋" w:cs="仿宋"/>
                <w:szCs w:val="21"/>
              </w:rPr>
            </w:pPr>
            <w:r>
              <w:rPr>
                <w:rFonts w:hint="eastAsia" w:ascii="仿宋" w:hAnsi="仿宋" w:eastAsia="仿宋" w:cs="仿宋"/>
                <w:szCs w:val="21"/>
              </w:rPr>
              <w:t>发表论文</w:t>
            </w:r>
          </w:p>
        </w:tc>
        <w:tc>
          <w:tcPr>
            <w:tcW w:w="5783" w:type="dxa"/>
            <w:vAlign w:val="center"/>
          </w:tcPr>
          <w:p w14:paraId="1ADA394B">
            <w:pPr>
              <w:spacing w:line="360" w:lineRule="auto"/>
              <w:jc w:val="center"/>
              <w:rPr>
                <w:rFonts w:hint="eastAsia" w:ascii="仿宋" w:hAnsi="仿宋" w:eastAsia="仿宋" w:cs="仿宋"/>
                <w:szCs w:val="21"/>
              </w:rPr>
            </w:pPr>
            <w:r>
              <w:rPr>
                <w:rFonts w:hint="eastAsia" w:ascii="仿宋" w:hAnsi="仿宋" w:eastAsia="仿宋" w:cs="仿宋"/>
                <w:szCs w:val="21"/>
              </w:rPr>
              <w:t>权威期刊A</w:t>
            </w:r>
          </w:p>
        </w:tc>
        <w:tc>
          <w:tcPr>
            <w:tcW w:w="1307" w:type="dxa"/>
            <w:vAlign w:val="center"/>
          </w:tcPr>
          <w:p w14:paraId="48716402">
            <w:pPr>
              <w:spacing w:line="360" w:lineRule="auto"/>
              <w:jc w:val="center"/>
              <w:rPr>
                <w:rFonts w:hint="eastAsia" w:ascii="仿宋" w:hAnsi="仿宋" w:eastAsia="仿宋" w:cs="仿宋"/>
                <w:szCs w:val="21"/>
              </w:rPr>
            </w:pPr>
            <w:r>
              <w:rPr>
                <w:rFonts w:hint="eastAsia" w:ascii="仿宋" w:hAnsi="仿宋" w:eastAsia="仿宋" w:cs="仿宋"/>
                <w:szCs w:val="21"/>
              </w:rPr>
              <w:t>60</w:t>
            </w:r>
          </w:p>
        </w:tc>
      </w:tr>
      <w:tr w14:paraId="423D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65AD4DBB">
            <w:pPr>
              <w:spacing w:line="360" w:lineRule="auto"/>
              <w:jc w:val="center"/>
              <w:rPr>
                <w:rFonts w:hint="eastAsia" w:ascii="仿宋" w:hAnsi="仿宋" w:eastAsia="仿宋" w:cs="仿宋"/>
                <w:szCs w:val="21"/>
              </w:rPr>
            </w:pPr>
          </w:p>
        </w:tc>
        <w:tc>
          <w:tcPr>
            <w:tcW w:w="5783" w:type="dxa"/>
            <w:vAlign w:val="center"/>
          </w:tcPr>
          <w:p w14:paraId="61374F13">
            <w:pPr>
              <w:spacing w:line="360" w:lineRule="auto"/>
              <w:jc w:val="center"/>
              <w:rPr>
                <w:rFonts w:hint="eastAsia" w:ascii="仿宋" w:hAnsi="仿宋" w:eastAsia="仿宋" w:cs="仿宋"/>
                <w:szCs w:val="21"/>
              </w:rPr>
            </w:pPr>
            <w:r>
              <w:rPr>
                <w:rFonts w:hint="eastAsia" w:ascii="仿宋" w:hAnsi="仿宋" w:eastAsia="仿宋" w:cs="仿宋"/>
                <w:szCs w:val="21"/>
              </w:rPr>
              <w:t>权威期刊B</w:t>
            </w:r>
          </w:p>
        </w:tc>
        <w:tc>
          <w:tcPr>
            <w:tcW w:w="1307" w:type="dxa"/>
            <w:vAlign w:val="center"/>
          </w:tcPr>
          <w:p w14:paraId="7BE3F330">
            <w:pPr>
              <w:spacing w:line="360" w:lineRule="auto"/>
              <w:jc w:val="center"/>
              <w:rPr>
                <w:rFonts w:hint="eastAsia" w:ascii="仿宋" w:hAnsi="仿宋" w:eastAsia="仿宋" w:cs="仿宋"/>
                <w:szCs w:val="21"/>
              </w:rPr>
            </w:pPr>
            <w:r>
              <w:rPr>
                <w:rFonts w:hint="eastAsia" w:ascii="仿宋" w:hAnsi="仿宋" w:eastAsia="仿宋" w:cs="仿宋"/>
                <w:szCs w:val="21"/>
              </w:rPr>
              <w:t>40</w:t>
            </w:r>
          </w:p>
        </w:tc>
      </w:tr>
      <w:tr w14:paraId="5380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6A29C432">
            <w:pPr>
              <w:spacing w:line="360" w:lineRule="auto"/>
              <w:jc w:val="center"/>
              <w:rPr>
                <w:rFonts w:hint="eastAsia" w:ascii="仿宋" w:hAnsi="仿宋" w:eastAsia="仿宋" w:cs="仿宋"/>
                <w:szCs w:val="21"/>
              </w:rPr>
            </w:pPr>
          </w:p>
        </w:tc>
        <w:tc>
          <w:tcPr>
            <w:tcW w:w="5783" w:type="dxa"/>
            <w:vAlign w:val="center"/>
          </w:tcPr>
          <w:p w14:paraId="4B4334DD">
            <w:pPr>
              <w:spacing w:line="360" w:lineRule="auto"/>
              <w:jc w:val="center"/>
              <w:rPr>
                <w:rFonts w:hint="eastAsia" w:ascii="仿宋" w:hAnsi="仿宋" w:eastAsia="仿宋" w:cs="仿宋"/>
                <w:szCs w:val="21"/>
              </w:rPr>
            </w:pPr>
            <w:r>
              <w:rPr>
                <w:rFonts w:hint="eastAsia" w:ascii="仿宋" w:hAnsi="仿宋" w:eastAsia="仿宋" w:cs="仿宋"/>
                <w:szCs w:val="21"/>
              </w:rPr>
              <w:t>一级期刊</w:t>
            </w:r>
          </w:p>
        </w:tc>
        <w:tc>
          <w:tcPr>
            <w:tcW w:w="1307" w:type="dxa"/>
            <w:vAlign w:val="center"/>
          </w:tcPr>
          <w:p w14:paraId="00310044">
            <w:pPr>
              <w:spacing w:line="360" w:lineRule="auto"/>
              <w:jc w:val="center"/>
              <w:rPr>
                <w:rFonts w:hint="eastAsia" w:ascii="仿宋" w:hAnsi="仿宋" w:eastAsia="仿宋" w:cs="仿宋"/>
                <w:szCs w:val="21"/>
              </w:rPr>
            </w:pPr>
            <w:r>
              <w:rPr>
                <w:rFonts w:hint="eastAsia" w:ascii="仿宋" w:hAnsi="仿宋" w:eastAsia="仿宋" w:cs="仿宋"/>
                <w:szCs w:val="21"/>
              </w:rPr>
              <w:t>20</w:t>
            </w:r>
          </w:p>
        </w:tc>
      </w:tr>
      <w:tr w14:paraId="0F66A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711E77D7">
            <w:pPr>
              <w:spacing w:line="360" w:lineRule="auto"/>
              <w:jc w:val="center"/>
              <w:rPr>
                <w:rFonts w:hint="eastAsia" w:ascii="仿宋" w:hAnsi="仿宋" w:eastAsia="仿宋" w:cs="仿宋"/>
                <w:szCs w:val="21"/>
              </w:rPr>
            </w:pPr>
          </w:p>
        </w:tc>
        <w:tc>
          <w:tcPr>
            <w:tcW w:w="5783" w:type="dxa"/>
            <w:vAlign w:val="center"/>
          </w:tcPr>
          <w:p w14:paraId="06E4F828">
            <w:pPr>
              <w:spacing w:line="360" w:lineRule="auto"/>
              <w:jc w:val="center"/>
              <w:rPr>
                <w:rFonts w:hint="eastAsia" w:ascii="仿宋" w:hAnsi="仿宋" w:eastAsia="仿宋" w:cs="仿宋"/>
                <w:szCs w:val="21"/>
              </w:rPr>
            </w:pPr>
            <w:r>
              <w:rPr>
                <w:rFonts w:hint="eastAsia" w:ascii="仿宋" w:hAnsi="仿宋" w:eastAsia="仿宋" w:cs="仿宋"/>
                <w:szCs w:val="21"/>
              </w:rPr>
              <w:t>二级期刊</w:t>
            </w:r>
          </w:p>
        </w:tc>
        <w:tc>
          <w:tcPr>
            <w:tcW w:w="1307" w:type="dxa"/>
            <w:vAlign w:val="center"/>
          </w:tcPr>
          <w:p w14:paraId="0868C72B">
            <w:pPr>
              <w:spacing w:line="360" w:lineRule="auto"/>
              <w:jc w:val="center"/>
              <w:rPr>
                <w:rFonts w:hint="eastAsia" w:ascii="仿宋" w:hAnsi="仿宋" w:eastAsia="仿宋" w:cs="仿宋"/>
                <w:szCs w:val="21"/>
              </w:rPr>
            </w:pPr>
            <w:r>
              <w:rPr>
                <w:rFonts w:hint="eastAsia" w:ascii="仿宋" w:hAnsi="仿宋" w:eastAsia="仿宋" w:cs="仿宋"/>
                <w:szCs w:val="21"/>
              </w:rPr>
              <w:t>10</w:t>
            </w:r>
          </w:p>
        </w:tc>
      </w:tr>
      <w:tr w14:paraId="64791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1AC16B17">
            <w:pPr>
              <w:spacing w:line="360" w:lineRule="auto"/>
              <w:jc w:val="center"/>
              <w:rPr>
                <w:rFonts w:hint="eastAsia" w:ascii="仿宋" w:hAnsi="仿宋" w:eastAsia="仿宋" w:cs="仿宋"/>
                <w:szCs w:val="21"/>
              </w:rPr>
            </w:pPr>
          </w:p>
        </w:tc>
        <w:tc>
          <w:tcPr>
            <w:tcW w:w="5783" w:type="dxa"/>
            <w:vAlign w:val="center"/>
          </w:tcPr>
          <w:p w14:paraId="16E1DCA1">
            <w:pPr>
              <w:spacing w:line="360" w:lineRule="auto"/>
              <w:jc w:val="center"/>
              <w:rPr>
                <w:rFonts w:hint="eastAsia" w:ascii="仿宋" w:hAnsi="仿宋" w:eastAsia="仿宋" w:cs="仿宋"/>
                <w:szCs w:val="21"/>
              </w:rPr>
            </w:pPr>
            <w:r>
              <w:rPr>
                <w:rFonts w:hint="eastAsia" w:ascii="仿宋" w:hAnsi="仿宋" w:eastAsia="仿宋" w:cs="仿宋"/>
                <w:szCs w:val="21"/>
              </w:rPr>
              <w:t>三级期刊</w:t>
            </w:r>
          </w:p>
        </w:tc>
        <w:tc>
          <w:tcPr>
            <w:tcW w:w="1307" w:type="dxa"/>
            <w:vAlign w:val="center"/>
          </w:tcPr>
          <w:p w14:paraId="6587D22A">
            <w:pPr>
              <w:spacing w:line="360" w:lineRule="auto"/>
              <w:jc w:val="center"/>
              <w:rPr>
                <w:rFonts w:hint="eastAsia" w:ascii="仿宋" w:hAnsi="仿宋" w:eastAsia="仿宋" w:cs="仿宋"/>
                <w:szCs w:val="21"/>
              </w:rPr>
            </w:pPr>
            <w:r>
              <w:rPr>
                <w:rFonts w:hint="eastAsia" w:ascii="仿宋" w:hAnsi="仿宋" w:eastAsia="仿宋" w:cs="仿宋"/>
                <w:szCs w:val="21"/>
              </w:rPr>
              <w:t>4</w:t>
            </w:r>
          </w:p>
        </w:tc>
      </w:tr>
      <w:tr w14:paraId="65E6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4E1A5DDA">
            <w:pPr>
              <w:spacing w:line="360" w:lineRule="auto"/>
              <w:jc w:val="center"/>
              <w:rPr>
                <w:rFonts w:hint="eastAsia" w:ascii="仿宋" w:hAnsi="仿宋" w:eastAsia="仿宋" w:cs="仿宋"/>
                <w:szCs w:val="21"/>
              </w:rPr>
            </w:pPr>
          </w:p>
        </w:tc>
        <w:tc>
          <w:tcPr>
            <w:tcW w:w="5783" w:type="dxa"/>
            <w:vAlign w:val="center"/>
          </w:tcPr>
          <w:p w14:paraId="51663703">
            <w:pPr>
              <w:spacing w:line="360" w:lineRule="auto"/>
              <w:jc w:val="center"/>
              <w:rPr>
                <w:rFonts w:hint="eastAsia" w:ascii="仿宋" w:hAnsi="仿宋" w:eastAsia="仿宋" w:cs="仿宋"/>
                <w:szCs w:val="21"/>
              </w:rPr>
            </w:pPr>
            <w:r>
              <w:rPr>
                <w:rFonts w:hint="eastAsia" w:ascii="仿宋" w:hAnsi="仿宋" w:eastAsia="仿宋" w:cs="仿宋"/>
                <w:szCs w:val="21"/>
              </w:rPr>
              <w:t>其他期刊</w:t>
            </w:r>
          </w:p>
        </w:tc>
        <w:tc>
          <w:tcPr>
            <w:tcW w:w="1307" w:type="dxa"/>
            <w:vAlign w:val="center"/>
          </w:tcPr>
          <w:p w14:paraId="1D7649DA">
            <w:pPr>
              <w:spacing w:line="360" w:lineRule="auto"/>
              <w:jc w:val="center"/>
              <w:rPr>
                <w:rFonts w:hint="eastAsia" w:ascii="仿宋" w:hAnsi="仿宋" w:eastAsia="仿宋" w:cs="仿宋"/>
                <w:szCs w:val="21"/>
              </w:rPr>
            </w:pPr>
            <w:r>
              <w:rPr>
                <w:rFonts w:hint="eastAsia" w:ascii="仿宋" w:hAnsi="仿宋" w:eastAsia="仿宋" w:cs="仿宋"/>
                <w:szCs w:val="21"/>
              </w:rPr>
              <w:t>2.5</w:t>
            </w:r>
          </w:p>
        </w:tc>
      </w:tr>
      <w:tr w14:paraId="2119F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restart"/>
            <w:vAlign w:val="center"/>
          </w:tcPr>
          <w:p w14:paraId="665E22E3">
            <w:pPr>
              <w:spacing w:line="360" w:lineRule="auto"/>
              <w:jc w:val="center"/>
              <w:rPr>
                <w:rFonts w:hint="eastAsia" w:ascii="仿宋" w:hAnsi="仿宋" w:eastAsia="仿宋" w:cs="仿宋"/>
                <w:szCs w:val="21"/>
              </w:rPr>
            </w:pPr>
            <w:r>
              <w:rPr>
                <w:rFonts w:hint="eastAsia" w:ascii="仿宋" w:hAnsi="仿宋" w:eastAsia="仿宋" w:cs="仿宋"/>
                <w:szCs w:val="21"/>
              </w:rPr>
              <w:t>出版著作</w:t>
            </w:r>
          </w:p>
        </w:tc>
        <w:tc>
          <w:tcPr>
            <w:tcW w:w="5783" w:type="dxa"/>
            <w:vAlign w:val="center"/>
          </w:tcPr>
          <w:p w14:paraId="3FB72B50">
            <w:pPr>
              <w:spacing w:line="360" w:lineRule="auto"/>
              <w:jc w:val="center"/>
              <w:rPr>
                <w:rFonts w:hint="eastAsia" w:ascii="仿宋" w:hAnsi="仿宋" w:eastAsia="仿宋" w:cs="仿宋"/>
                <w:szCs w:val="21"/>
              </w:rPr>
            </w:pPr>
            <w:r>
              <w:rPr>
                <w:rFonts w:hint="eastAsia" w:ascii="仿宋" w:hAnsi="仿宋" w:eastAsia="仿宋" w:cs="仿宋"/>
                <w:szCs w:val="21"/>
              </w:rPr>
              <w:t>A类</w:t>
            </w:r>
          </w:p>
        </w:tc>
        <w:tc>
          <w:tcPr>
            <w:tcW w:w="1307" w:type="dxa"/>
            <w:vAlign w:val="center"/>
          </w:tcPr>
          <w:p w14:paraId="3AA69CEA">
            <w:pPr>
              <w:spacing w:line="360" w:lineRule="auto"/>
              <w:jc w:val="center"/>
              <w:rPr>
                <w:rFonts w:hint="eastAsia" w:ascii="仿宋" w:hAnsi="仿宋" w:eastAsia="仿宋" w:cs="仿宋"/>
                <w:szCs w:val="21"/>
              </w:rPr>
            </w:pPr>
            <w:r>
              <w:rPr>
                <w:rFonts w:hint="eastAsia" w:ascii="仿宋" w:hAnsi="仿宋" w:eastAsia="仿宋" w:cs="仿宋"/>
                <w:szCs w:val="21"/>
              </w:rPr>
              <w:t>40</w:t>
            </w:r>
          </w:p>
        </w:tc>
      </w:tr>
      <w:tr w14:paraId="52AED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09165C6B">
            <w:pPr>
              <w:spacing w:line="360" w:lineRule="auto"/>
              <w:jc w:val="center"/>
              <w:rPr>
                <w:rFonts w:hint="eastAsia" w:ascii="仿宋" w:hAnsi="仿宋" w:eastAsia="仿宋" w:cs="仿宋"/>
                <w:szCs w:val="21"/>
              </w:rPr>
            </w:pPr>
          </w:p>
        </w:tc>
        <w:tc>
          <w:tcPr>
            <w:tcW w:w="5783" w:type="dxa"/>
            <w:vAlign w:val="center"/>
          </w:tcPr>
          <w:p w14:paraId="2AFD23AA">
            <w:pPr>
              <w:spacing w:line="360" w:lineRule="auto"/>
              <w:jc w:val="center"/>
              <w:rPr>
                <w:rFonts w:hint="eastAsia" w:ascii="仿宋" w:hAnsi="仿宋" w:eastAsia="仿宋" w:cs="仿宋"/>
                <w:szCs w:val="21"/>
              </w:rPr>
            </w:pPr>
            <w:r>
              <w:rPr>
                <w:rFonts w:hint="eastAsia" w:ascii="仿宋" w:hAnsi="仿宋" w:eastAsia="仿宋" w:cs="仿宋"/>
                <w:szCs w:val="21"/>
              </w:rPr>
              <w:t>B类</w:t>
            </w:r>
          </w:p>
        </w:tc>
        <w:tc>
          <w:tcPr>
            <w:tcW w:w="1307" w:type="dxa"/>
            <w:vAlign w:val="center"/>
          </w:tcPr>
          <w:p w14:paraId="3B153171">
            <w:pPr>
              <w:spacing w:line="360" w:lineRule="auto"/>
              <w:jc w:val="center"/>
              <w:rPr>
                <w:rFonts w:hint="eastAsia" w:ascii="仿宋" w:hAnsi="仿宋" w:eastAsia="仿宋" w:cs="仿宋"/>
                <w:szCs w:val="21"/>
              </w:rPr>
            </w:pPr>
            <w:r>
              <w:rPr>
                <w:rFonts w:hint="eastAsia" w:ascii="仿宋" w:hAnsi="仿宋" w:eastAsia="仿宋" w:cs="仿宋"/>
                <w:szCs w:val="21"/>
              </w:rPr>
              <w:t>20</w:t>
            </w:r>
          </w:p>
        </w:tc>
      </w:tr>
      <w:tr w14:paraId="0ABA2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7868254D">
            <w:pPr>
              <w:spacing w:line="360" w:lineRule="auto"/>
              <w:jc w:val="center"/>
              <w:rPr>
                <w:rFonts w:hint="eastAsia" w:ascii="仿宋" w:hAnsi="仿宋" w:eastAsia="仿宋" w:cs="仿宋"/>
                <w:szCs w:val="21"/>
              </w:rPr>
            </w:pPr>
          </w:p>
        </w:tc>
        <w:tc>
          <w:tcPr>
            <w:tcW w:w="5783" w:type="dxa"/>
            <w:vAlign w:val="center"/>
          </w:tcPr>
          <w:p w14:paraId="55C2286A">
            <w:pPr>
              <w:spacing w:line="360" w:lineRule="auto"/>
              <w:jc w:val="center"/>
              <w:rPr>
                <w:rFonts w:hint="eastAsia" w:ascii="仿宋" w:hAnsi="仿宋" w:eastAsia="仿宋" w:cs="仿宋"/>
                <w:szCs w:val="21"/>
              </w:rPr>
            </w:pPr>
            <w:r>
              <w:rPr>
                <w:rFonts w:hint="eastAsia" w:ascii="仿宋" w:hAnsi="仿宋" w:eastAsia="仿宋" w:cs="仿宋"/>
                <w:szCs w:val="21"/>
              </w:rPr>
              <w:t>C类</w:t>
            </w:r>
          </w:p>
        </w:tc>
        <w:tc>
          <w:tcPr>
            <w:tcW w:w="1307" w:type="dxa"/>
            <w:vAlign w:val="center"/>
          </w:tcPr>
          <w:p w14:paraId="038A0A99">
            <w:pPr>
              <w:spacing w:line="360" w:lineRule="auto"/>
              <w:jc w:val="center"/>
              <w:rPr>
                <w:rFonts w:hint="eastAsia" w:ascii="仿宋" w:hAnsi="仿宋" w:eastAsia="仿宋" w:cs="仿宋"/>
                <w:szCs w:val="21"/>
              </w:rPr>
            </w:pPr>
            <w:r>
              <w:rPr>
                <w:rFonts w:hint="eastAsia" w:ascii="仿宋" w:hAnsi="仿宋" w:eastAsia="仿宋" w:cs="仿宋"/>
                <w:szCs w:val="21"/>
              </w:rPr>
              <w:t>10</w:t>
            </w:r>
          </w:p>
        </w:tc>
      </w:tr>
      <w:tr w14:paraId="581B2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21D8FECE">
            <w:pPr>
              <w:spacing w:line="360" w:lineRule="auto"/>
              <w:jc w:val="center"/>
              <w:rPr>
                <w:rFonts w:hint="eastAsia" w:ascii="仿宋" w:hAnsi="仿宋" w:eastAsia="仿宋" w:cs="仿宋"/>
                <w:szCs w:val="21"/>
              </w:rPr>
            </w:pPr>
          </w:p>
        </w:tc>
        <w:tc>
          <w:tcPr>
            <w:tcW w:w="5783" w:type="dxa"/>
            <w:vAlign w:val="center"/>
          </w:tcPr>
          <w:p w14:paraId="7A51CD61">
            <w:pPr>
              <w:spacing w:line="360" w:lineRule="auto"/>
              <w:jc w:val="center"/>
              <w:rPr>
                <w:rFonts w:hint="eastAsia" w:ascii="仿宋" w:hAnsi="仿宋" w:eastAsia="仿宋" w:cs="仿宋"/>
                <w:szCs w:val="21"/>
              </w:rPr>
            </w:pPr>
            <w:r>
              <w:rPr>
                <w:rFonts w:hint="eastAsia" w:ascii="仿宋" w:hAnsi="仿宋" w:eastAsia="仿宋" w:cs="仿宋"/>
                <w:szCs w:val="21"/>
              </w:rPr>
              <w:t>D类（编著、科普读本，文艺作品等）</w:t>
            </w:r>
          </w:p>
        </w:tc>
        <w:tc>
          <w:tcPr>
            <w:tcW w:w="1307" w:type="dxa"/>
            <w:vAlign w:val="center"/>
          </w:tcPr>
          <w:p w14:paraId="65B47C02">
            <w:pPr>
              <w:spacing w:line="360" w:lineRule="auto"/>
              <w:jc w:val="center"/>
              <w:rPr>
                <w:rFonts w:hint="eastAsia" w:ascii="仿宋" w:hAnsi="仿宋" w:eastAsia="仿宋" w:cs="仿宋"/>
                <w:szCs w:val="21"/>
              </w:rPr>
            </w:pPr>
            <w:r>
              <w:rPr>
                <w:rFonts w:hint="eastAsia" w:ascii="仿宋" w:hAnsi="仿宋" w:eastAsia="仿宋" w:cs="仿宋"/>
                <w:szCs w:val="21"/>
              </w:rPr>
              <w:t>4</w:t>
            </w:r>
          </w:p>
        </w:tc>
      </w:tr>
      <w:tr w14:paraId="38EF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restart"/>
            <w:vAlign w:val="center"/>
          </w:tcPr>
          <w:p w14:paraId="67CF9CE7">
            <w:pPr>
              <w:spacing w:line="360" w:lineRule="auto"/>
              <w:jc w:val="center"/>
              <w:rPr>
                <w:rFonts w:hint="eastAsia" w:ascii="仿宋" w:hAnsi="仿宋" w:eastAsia="仿宋" w:cs="仿宋"/>
                <w:szCs w:val="21"/>
              </w:rPr>
            </w:pPr>
            <w:r>
              <w:rPr>
                <w:rFonts w:hint="eastAsia" w:ascii="仿宋" w:hAnsi="仿宋" w:eastAsia="仿宋" w:cs="仿宋"/>
                <w:szCs w:val="21"/>
              </w:rPr>
              <w:t>专利</w:t>
            </w:r>
          </w:p>
        </w:tc>
        <w:tc>
          <w:tcPr>
            <w:tcW w:w="5783" w:type="dxa"/>
            <w:vAlign w:val="center"/>
          </w:tcPr>
          <w:p w14:paraId="5CB88C27">
            <w:pPr>
              <w:spacing w:line="360" w:lineRule="auto"/>
              <w:jc w:val="center"/>
              <w:rPr>
                <w:rFonts w:hint="eastAsia" w:ascii="仿宋" w:hAnsi="仿宋" w:eastAsia="仿宋" w:cs="仿宋"/>
                <w:szCs w:val="21"/>
              </w:rPr>
            </w:pPr>
            <w:r>
              <w:rPr>
                <w:rFonts w:hint="eastAsia" w:ascii="仿宋" w:hAnsi="仿宋" w:eastAsia="仿宋" w:cs="仿宋"/>
                <w:szCs w:val="21"/>
              </w:rPr>
              <w:t>授权美日欧发明专利</w:t>
            </w:r>
          </w:p>
        </w:tc>
        <w:tc>
          <w:tcPr>
            <w:tcW w:w="1307" w:type="dxa"/>
            <w:vAlign w:val="center"/>
          </w:tcPr>
          <w:p w14:paraId="1B284451">
            <w:pPr>
              <w:spacing w:line="360" w:lineRule="auto"/>
              <w:jc w:val="center"/>
              <w:rPr>
                <w:rFonts w:hint="default" w:ascii="仿宋" w:hAnsi="仿宋" w:eastAsia="仿宋" w:cs="仿宋"/>
                <w:szCs w:val="21"/>
                <w:lang w:val="en-US" w:eastAsia="zh-CN"/>
              </w:rPr>
            </w:pPr>
            <w:r>
              <w:rPr>
                <w:rFonts w:hint="eastAsia" w:ascii="仿宋" w:hAnsi="仿宋" w:eastAsia="仿宋" w:cs="仿宋"/>
                <w:szCs w:val="21"/>
              </w:rPr>
              <w:t>100</w:t>
            </w:r>
          </w:p>
        </w:tc>
      </w:tr>
      <w:tr w14:paraId="78414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5A3E09A6">
            <w:pPr>
              <w:spacing w:line="360" w:lineRule="auto"/>
              <w:jc w:val="center"/>
              <w:rPr>
                <w:rFonts w:hint="eastAsia" w:ascii="仿宋" w:hAnsi="仿宋" w:eastAsia="仿宋" w:cs="仿宋"/>
                <w:szCs w:val="21"/>
              </w:rPr>
            </w:pPr>
          </w:p>
        </w:tc>
        <w:tc>
          <w:tcPr>
            <w:tcW w:w="5783" w:type="dxa"/>
            <w:vAlign w:val="center"/>
          </w:tcPr>
          <w:p w14:paraId="012A7731">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rPr>
              <w:t>授权中国及其他国家（地区）发明专利、植物新品种权</w:t>
            </w:r>
          </w:p>
        </w:tc>
        <w:tc>
          <w:tcPr>
            <w:tcW w:w="1307" w:type="dxa"/>
            <w:vAlign w:val="center"/>
          </w:tcPr>
          <w:p w14:paraId="3EE6FFA1">
            <w:pPr>
              <w:spacing w:line="360" w:lineRule="auto"/>
              <w:jc w:val="center"/>
              <w:rPr>
                <w:rFonts w:hint="default" w:ascii="仿宋" w:hAnsi="仿宋" w:eastAsia="仿宋" w:cs="仿宋"/>
                <w:szCs w:val="21"/>
                <w:lang w:val="en-US" w:eastAsia="zh-CN"/>
              </w:rPr>
            </w:pPr>
            <w:r>
              <w:rPr>
                <w:rFonts w:hint="eastAsia" w:ascii="仿宋" w:hAnsi="仿宋" w:eastAsia="仿宋" w:cs="仿宋"/>
                <w:szCs w:val="21"/>
              </w:rPr>
              <w:t>20</w:t>
            </w:r>
          </w:p>
        </w:tc>
      </w:tr>
      <w:tr w14:paraId="59E7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62786627">
            <w:pPr>
              <w:spacing w:line="360" w:lineRule="auto"/>
              <w:jc w:val="center"/>
              <w:rPr>
                <w:rFonts w:hint="eastAsia" w:ascii="仿宋" w:hAnsi="仿宋" w:eastAsia="仿宋" w:cs="仿宋"/>
                <w:szCs w:val="21"/>
              </w:rPr>
            </w:pPr>
          </w:p>
        </w:tc>
        <w:tc>
          <w:tcPr>
            <w:tcW w:w="5783" w:type="dxa"/>
            <w:vAlign w:val="center"/>
          </w:tcPr>
          <w:p w14:paraId="3C97D593">
            <w:pPr>
              <w:spacing w:line="360" w:lineRule="auto"/>
              <w:jc w:val="center"/>
              <w:rPr>
                <w:rFonts w:hint="eastAsia" w:ascii="仿宋" w:hAnsi="仿宋" w:eastAsia="仿宋" w:cs="仿宋"/>
                <w:szCs w:val="21"/>
              </w:rPr>
            </w:pPr>
            <w:r>
              <w:rPr>
                <w:rFonts w:hint="eastAsia" w:ascii="仿宋" w:hAnsi="仿宋" w:eastAsia="仿宋" w:cs="仿宋"/>
                <w:szCs w:val="21"/>
              </w:rPr>
              <w:t>授权实用新型专利、外观设计专利</w:t>
            </w:r>
          </w:p>
        </w:tc>
        <w:tc>
          <w:tcPr>
            <w:tcW w:w="1307" w:type="dxa"/>
            <w:vAlign w:val="center"/>
          </w:tcPr>
          <w:p w14:paraId="7C2E76F1">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rPr>
              <w:t>4</w:t>
            </w:r>
          </w:p>
        </w:tc>
      </w:tr>
      <w:tr w14:paraId="3545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504B458B">
            <w:pPr>
              <w:spacing w:line="360" w:lineRule="auto"/>
              <w:jc w:val="center"/>
              <w:rPr>
                <w:rFonts w:hint="eastAsia" w:ascii="仿宋" w:hAnsi="仿宋" w:eastAsia="仿宋" w:cs="仿宋"/>
                <w:szCs w:val="21"/>
              </w:rPr>
            </w:pPr>
          </w:p>
        </w:tc>
        <w:tc>
          <w:tcPr>
            <w:tcW w:w="5783" w:type="dxa"/>
            <w:vAlign w:val="center"/>
          </w:tcPr>
          <w:p w14:paraId="4F99726A">
            <w:pPr>
              <w:spacing w:line="360" w:lineRule="auto"/>
              <w:jc w:val="center"/>
              <w:rPr>
                <w:rFonts w:hint="eastAsia" w:ascii="仿宋" w:hAnsi="仿宋" w:eastAsia="仿宋" w:cs="仿宋"/>
                <w:szCs w:val="21"/>
              </w:rPr>
            </w:pPr>
            <w:r>
              <w:rPr>
                <w:rFonts w:hint="eastAsia" w:ascii="仿宋" w:hAnsi="仿宋" w:eastAsia="仿宋" w:cs="仿宋"/>
                <w:szCs w:val="21"/>
              </w:rPr>
              <w:t>计算机软件著作权登记、集成电路布图设计登记</w:t>
            </w:r>
          </w:p>
        </w:tc>
        <w:tc>
          <w:tcPr>
            <w:tcW w:w="1307" w:type="dxa"/>
            <w:vAlign w:val="center"/>
          </w:tcPr>
          <w:p w14:paraId="2C36E09A">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2</w:t>
            </w:r>
          </w:p>
        </w:tc>
      </w:tr>
      <w:tr w14:paraId="1675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restart"/>
            <w:vAlign w:val="center"/>
          </w:tcPr>
          <w:p w14:paraId="5B2590C5">
            <w:pPr>
              <w:spacing w:line="360" w:lineRule="auto"/>
              <w:jc w:val="center"/>
              <w:rPr>
                <w:rFonts w:hint="eastAsia" w:ascii="仿宋" w:hAnsi="仿宋" w:eastAsia="仿宋" w:cs="仿宋"/>
                <w:szCs w:val="21"/>
              </w:rPr>
            </w:pPr>
            <w:r>
              <w:rPr>
                <w:rFonts w:hint="eastAsia" w:ascii="仿宋" w:hAnsi="仿宋" w:eastAsia="仿宋" w:cs="仿宋"/>
                <w:szCs w:val="21"/>
              </w:rPr>
              <w:t>学术会议</w:t>
            </w:r>
          </w:p>
        </w:tc>
        <w:tc>
          <w:tcPr>
            <w:tcW w:w="5783" w:type="dxa"/>
            <w:vAlign w:val="top"/>
          </w:tcPr>
          <w:p w14:paraId="383607A2">
            <w:pPr>
              <w:spacing w:line="360" w:lineRule="auto"/>
              <w:jc w:val="center"/>
              <w:rPr>
                <w:rFonts w:hint="eastAsia" w:ascii="仿宋" w:hAnsi="仿宋" w:eastAsia="仿宋" w:cs="仿宋"/>
                <w:szCs w:val="21"/>
              </w:rPr>
            </w:pPr>
            <w:r>
              <w:rPr>
                <w:rFonts w:hint="eastAsia" w:ascii="仿宋" w:hAnsi="仿宋" w:eastAsia="仿宋" w:cs="仿宋"/>
                <w:szCs w:val="21"/>
              </w:rPr>
              <w:t>在国际性或全国性学术会议大会上宣读的论文</w:t>
            </w:r>
          </w:p>
        </w:tc>
        <w:tc>
          <w:tcPr>
            <w:tcW w:w="1307" w:type="dxa"/>
            <w:vAlign w:val="center"/>
          </w:tcPr>
          <w:p w14:paraId="6B74103A">
            <w:pPr>
              <w:spacing w:line="360" w:lineRule="auto"/>
              <w:jc w:val="center"/>
              <w:rPr>
                <w:rFonts w:hint="default" w:ascii="仿宋" w:hAnsi="仿宋" w:eastAsia="仿宋" w:cs="仿宋"/>
                <w:szCs w:val="21"/>
                <w:lang w:val="en-US" w:eastAsia="zh-CN"/>
              </w:rPr>
            </w:pPr>
            <w:r>
              <w:rPr>
                <w:rFonts w:hint="eastAsia" w:ascii="仿宋" w:hAnsi="仿宋" w:eastAsia="仿宋" w:cs="仿宋"/>
                <w:szCs w:val="21"/>
                <w:lang w:val="en-US" w:eastAsia="zh-CN"/>
              </w:rPr>
              <w:t>10</w:t>
            </w:r>
          </w:p>
        </w:tc>
      </w:tr>
      <w:tr w14:paraId="311A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600E3F83">
            <w:pPr>
              <w:spacing w:line="360" w:lineRule="auto"/>
              <w:jc w:val="center"/>
              <w:rPr>
                <w:rFonts w:hint="eastAsia" w:ascii="仿宋" w:hAnsi="仿宋" w:eastAsia="仿宋" w:cs="仿宋"/>
                <w:szCs w:val="21"/>
              </w:rPr>
            </w:pPr>
          </w:p>
        </w:tc>
        <w:tc>
          <w:tcPr>
            <w:tcW w:w="5783" w:type="dxa"/>
            <w:vAlign w:val="center"/>
          </w:tcPr>
          <w:p w14:paraId="2D343296">
            <w:pPr>
              <w:spacing w:line="360" w:lineRule="auto"/>
              <w:jc w:val="center"/>
              <w:rPr>
                <w:rFonts w:hint="eastAsia" w:ascii="仿宋" w:hAnsi="仿宋" w:eastAsia="仿宋" w:cs="仿宋"/>
                <w:szCs w:val="21"/>
              </w:rPr>
            </w:pPr>
            <w:r>
              <w:rPr>
                <w:rFonts w:hint="eastAsia" w:ascii="仿宋" w:hAnsi="仿宋" w:eastAsia="仿宋" w:cs="仿宋"/>
                <w:szCs w:val="21"/>
              </w:rPr>
              <w:t>收入国际性或全国性学术会议论文集的论文（摘要）</w:t>
            </w:r>
          </w:p>
        </w:tc>
        <w:tc>
          <w:tcPr>
            <w:tcW w:w="1307" w:type="dxa"/>
            <w:vAlign w:val="center"/>
          </w:tcPr>
          <w:p w14:paraId="612E562E">
            <w:pPr>
              <w:spacing w:line="360" w:lineRule="auto"/>
              <w:jc w:val="center"/>
              <w:rPr>
                <w:rFonts w:hint="eastAsia" w:ascii="仿宋" w:hAnsi="仿宋" w:eastAsia="仿宋" w:cs="仿宋"/>
                <w:szCs w:val="21"/>
                <w:lang w:eastAsia="zh-CN"/>
              </w:rPr>
            </w:pPr>
            <w:r>
              <w:rPr>
                <w:rFonts w:hint="eastAsia" w:ascii="仿宋" w:hAnsi="仿宋" w:eastAsia="仿宋" w:cs="仿宋"/>
                <w:szCs w:val="21"/>
                <w:lang w:val="en-US" w:eastAsia="zh-CN"/>
              </w:rPr>
              <w:t>7（2）</w:t>
            </w:r>
          </w:p>
        </w:tc>
      </w:tr>
      <w:tr w14:paraId="6504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Merge w:val="continue"/>
            <w:vAlign w:val="center"/>
          </w:tcPr>
          <w:p w14:paraId="18564B10">
            <w:pPr>
              <w:spacing w:line="360" w:lineRule="auto"/>
              <w:jc w:val="center"/>
              <w:rPr>
                <w:rFonts w:hint="eastAsia" w:ascii="仿宋" w:hAnsi="仿宋" w:eastAsia="仿宋" w:cs="仿宋"/>
                <w:szCs w:val="21"/>
              </w:rPr>
            </w:pPr>
          </w:p>
        </w:tc>
        <w:tc>
          <w:tcPr>
            <w:tcW w:w="5783" w:type="dxa"/>
            <w:vAlign w:val="center"/>
          </w:tcPr>
          <w:p w14:paraId="701ECE0F">
            <w:pPr>
              <w:spacing w:line="360" w:lineRule="auto"/>
              <w:jc w:val="center"/>
              <w:rPr>
                <w:rFonts w:hint="eastAsia" w:ascii="仿宋" w:hAnsi="仿宋" w:eastAsia="仿宋" w:cs="仿宋"/>
                <w:szCs w:val="21"/>
              </w:rPr>
            </w:pPr>
            <w:r>
              <w:rPr>
                <w:rFonts w:hint="eastAsia" w:ascii="仿宋" w:hAnsi="仿宋" w:eastAsia="仿宋" w:cs="仿宋"/>
                <w:szCs w:val="21"/>
              </w:rPr>
              <w:t>在省级学术会议大会上宣读的论文</w:t>
            </w:r>
          </w:p>
        </w:tc>
        <w:tc>
          <w:tcPr>
            <w:tcW w:w="1307" w:type="dxa"/>
            <w:vAlign w:val="center"/>
          </w:tcPr>
          <w:p w14:paraId="09EE553E">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lang w:val="en-US" w:eastAsia="zh-CN"/>
              </w:rPr>
              <w:t>5</w:t>
            </w:r>
          </w:p>
        </w:tc>
      </w:tr>
      <w:tr w14:paraId="29349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Align w:val="center"/>
          </w:tcPr>
          <w:p w14:paraId="7D5E49CE">
            <w:pPr>
              <w:spacing w:line="360" w:lineRule="auto"/>
              <w:jc w:val="center"/>
              <w:rPr>
                <w:rFonts w:hint="eastAsia" w:ascii="仿宋" w:hAnsi="仿宋" w:eastAsia="仿宋" w:cs="仿宋"/>
                <w:szCs w:val="21"/>
              </w:rPr>
            </w:pPr>
            <w:r>
              <w:rPr>
                <w:rFonts w:hint="eastAsia" w:ascii="仿宋" w:hAnsi="仿宋" w:eastAsia="仿宋" w:cs="仿宋"/>
                <w:szCs w:val="21"/>
              </w:rPr>
              <w:t>实践成果</w:t>
            </w:r>
          </w:p>
        </w:tc>
        <w:tc>
          <w:tcPr>
            <w:tcW w:w="5783" w:type="dxa"/>
            <w:vAlign w:val="center"/>
          </w:tcPr>
          <w:p w14:paraId="0190B4B5">
            <w:pPr>
              <w:spacing w:line="360" w:lineRule="auto"/>
              <w:jc w:val="center"/>
              <w:rPr>
                <w:rFonts w:hint="eastAsia" w:ascii="仿宋" w:hAnsi="仿宋" w:eastAsia="仿宋" w:cs="仿宋"/>
                <w:szCs w:val="21"/>
              </w:rPr>
            </w:pPr>
            <w:r>
              <w:rPr>
                <w:rFonts w:hint="eastAsia" w:ascii="仿宋" w:hAnsi="仿宋" w:eastAsia="仿宋" w:cs="仿宋"/>
                <w:szCs w:val="21"/>
              </w:rPr>
              <w:t>浙江省研究生教育学会评选的优秀实践成果奖</w:t>
            </w:r>
          </w:p>
        </w:tc>
        <w:tc>
          <w:tcPr>
            <w:tcW w:w="1307" w:type="dxa"/>
            <w:vAlign w:val="center"/>
          </w:tcPr>
          <w:p w14:paraId="6DBCFEE8">
            <w:pPr>
              <w:spacing w:line="360" w:lineRule="auto"/>
              <w:jc w:val="center"/>
              <w:rPr>
                <w:rFonts w:hint="eastAsia" w:ascii="仿宋" w:hAnsi="仿宋" w:eastAsia="仿宋" w:cs="仿宋"/>
                <w:szCs w:val="21"/>
                <w:lang w:val="en-US" w:eastAsia="zh-CN"/>
              </w:rPr>
            </w:pPr>
            <w:r>
              <w:rPr>
                <w:rFonts w:hint="eastAsia" w:ascii="仿宋" w:hAnsi="仿宋" w:eastAsia="仿宋" w:cs="仿宋"/>
                <w:szCs w:val="21"/>
              </w:rPr>
              <w:t>15</w:t>
            </w:r>
          </w:p>
        </w:tc>
      </w:tr>
      <w:tr w14:paraId="27DC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754" w:type="dxa"/>
            <w:vAlign w:val="center"/>
          </w:tcPr>
          <w:p w14:paraId="22CE63D3">
            <w:pPr>
              <w:spacing w:line="360" w:lineRule="auto"/>
              <w:jc w:val="center"/>
              <w:rPr>
                <w:rFonts w:hint="eastAsia" w:ascii="仿宋" w:hAnsi="仿宋" w:eastAsia="仿宋" w:cs="仿宋"/>
                <w:szCs w:val="21"/>
              </w:rPr>
            </w:pPr>
            <w:r>
              <w:rPr>
                <w:rFonts w:hint="eastAsia" w:ascii="仿宋" w:hAnsi="仿宋" w:eastAsia="仿宋" w:cs="仿宋"/>
                <w:szCs w:val="21"/>
              </w:rPr>
              <w:t>其他成果</w:t>
            </w:r>
          </w:p>
        </w:tc>
        <w:tc>
          <w:tcPr>
            <w:tcW w:w="5783" w:type="dxa"/>
            <w:vAlign w:val="center"/>
          </w:tcPr>
          <w:p w14:paraId="44A5DA6B">
            <w:pPr>
              <w:spacing w:line="360" w:lineRule="auto"/>
              <w:jc w:val="center"/>
              <w:rPr>
                <w:rFonts w:hint="eastAsia" w:ascii="仿宋" w:hAnsi="仿宋" w:eastAsia="仿宋" w:cs="仿宋"/>
                <w:szCs w:val="21"/>
              </w:rPr>
            </w:pPr>
            <w:r>
              <w:rPr>
                <w:rFonts w:hint="eastAsia" w:ascii="仿宋" w:hAnsi="仿宋" w:eastAsia="仿宋" w:cs="仿宋"/>
                <w:szCs w:val="21"/>
              </w:rPr>
              <w:t>经</w:t>
            </w:r>
            <w:r>
              <w:rPr>
                <w:rFonts w:hint="eastAsia" w:ascii="仿宋" w:hAnsi="仿宋" w:eastAsia="仿宋" w:cs="仿宋"/>
                <w:szCs w:val="21"/>
                <w:lang w:val="en-US" w:eastAsia="zh-CN"/>
              </w:rPr>
              <w:t>学位点</w:t>
            </w:r>
            <w:r>
              <w:rPr>
                <w:rFonts w:hint="eastAsia" w:ascii="仿宋" w:hAnsi="仿宋" w:eastAsia="仿宋" w:cs="仿宋"/>
                <w:szCs w:val="21"/>
              </w:rPr>
              <w:t>认定</w:t>
            </w:r>
          </w:p>
        </w:tc>
        <w:tc>
          <w:tcPr>
            <w:tcW w:w="1307" w:type="dxa"/>
            <w:vAlign w:val="center"/>
          </w:tcPr>
          <w:p w14:paraId="43F9EA47">
            <w:pPr>
              <w:spacing w:line="360" w:lineRule="auto"/>
              <w:jc w:val="center"/>
              <w:rPr>
                <w:rFonts w:hint="eastAsia" w:ascii="仿宋" w:hAnsi="仿宋" w:eastAsia="仿宋" w:cs="仿宋"/>
                <w:szCs w:val="21"/>
              </w:rPr>
            </w:pPr>
            <w:r>
              <w:rPr>
                <w:rFonts w:hint="eastAsia" w:ascii="仿宋" w:hAnsi="仿宋" w:eastAsia="仿宋" w:cs="仿宋"/>
                <w:szCs w:val="21"/>
              </w:rPr>
              <w:t>累计加分不超过10分</w:t>
            </w:r>
          </w:p>
        </w:tc>
      </w:tr>
    </w:tbl>
    <w:p w14:paraId="5D425BE9">
      <w:pPr>
        <w:spacing w:line="560" w:lineRule="exact"/>
        <w:jc w:val="center"/>
        <w:rPr>
          <w:rFonts w:hint="eastAsia" w:eastAsia="仿宋"/>
          <w:b/>
          <w:bCs/>
          <w:kern w:val="0"/>
          <w:szCs w:val="32"/>
        </w:rPr>
      </w:pPr>
    </w:p>
    <w:p w14:paraId="21B216D8">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说明：</w:t>
      </w:r>
    </w:p>
    <w:p w14:paraId="0C245FF9">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（1）科研成果认定级别以浙江师范大学期刊定级标准（修订）</w:t>
      </w:r>
      <w:bookmarkStart w:id="0" w:name="文号"/>
      <w:r>
        <w:rPr>
          <w:rFonts w:hint="eastAsia" w:ascii="仿宋" w:hAnsi="仿宋" w:eastAsia="仿宋" w:cs="仿宋"/>
          <w:sz w:val="28"/>
          <w:szCs w:val="28"/>
          <w:lang w:eastAsia="zh-CN"/>
        </w:rPr>
        <w:t>（</w:t>
      </w:r>
      <w:r>
        <w:rPr>
          <w:rFonts w:hint="eastAsia" w:ascii="仿宋" w:hAnsi="仿宋" w:eastAsia="仿宋" w:cs="仿宋"/>
          <w:sz w:val="28"/>
          <w:szCs w:val="28"/>
        </w:rPr>
        <w:t>浙师科研字〔2021〕16号</w:t>
      </w:r>
      <w:bookmarkEnd w:id="0"/>
      <w:r>
        <w:rPr>
          <w:rFonts w:hint="eastAsia" w:ascii="仿宋" w:hAnsi="仿宋" w:eastAsia="仿宋" w:cs="仿宋"/>
          <w:sz w:val="28"/>
          <w:szCs w:val="28"/>
          <w:lang w:eastAsia="zh-CN"/>
        </w:rPr>
        <w:t>）</w:t>
      </w:r>
      <w:r>
        <w:rPr>
          <w:rFonts w:hint="eastAsia" w:ascii="仿宋" w:hAnsi="仿宋" w:eastAsia="仿宋" w:cs="仿宋"/>
          <w:sz w:val="28"/>
          <w:szCs w:val="28"/>
        </w:rPr>
        <w:t>、《浙江师范大学著作定级评审办法》（浙师科研字〔2020〕2号）为准。</w:t>
      </w:r>
    </w:p>
    <w:p w14:paraId="0DB0788A">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val="en-US" w:eastAsia="zh-Hans"/>
        </w:rPr>
        <w:t>论文署名第一作者或通讯作者的第一单位必须为浙江师范大学；联合培养研究生成果第一单位为联合培养单位、第二单位为浙江师范大学，减半加分。</w:t>
      </w:r>
    </w:p>
    <w:p w14:paraId="4AB35D25">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3</w:t>
      </w:r>
      <w:r>
        <w:rPr>
          <w:rFonts w:hint="eastAsia" w:ascii="仿宋" w:hAnsi="仿宋" w:eastAsia="仿宋" w:cs="仿宋"/>
          <w:sz w:val="28"/>
          <w:szCs w:val="28"/>
        </w:rPr>
        <w:t>）同一篇文章分上下篇发在同一刊物两期上的，按1篇计分。</w:t>
      </w:r>
    </w:p>
    <w:p w14:paraId="00D7552B">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4</w:t>
      </w:r>
      <w:r>
        <w:rPr>
          <w:rFonts w:hint="eastAsia" w:ascii="仿宋" w:hAnsi="仿宋" w:eastAsia="仿宋" w:cs="仿宋"/>
          <w:sz w:val="28"/>
          <w:szCs w:val="28"/>
        </w:rPr>
        <w:t>）在同一刊物中、英文版上发表同一篇文章的，按120%计分。</w:t>
      </w:r>
    </w:p>
    <w:p w14:paraId="0374276C">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5</w:t>
      </w:r>
      <w:r>
        <w:rPr>
          <w:rFonts w:hint="eastAsia" w:ascii="仿宋" w:hAnsi="仿宋" w:eastAsia="仿宋" w:cs="仿宋"/>
          <w:sz w:val="28"/>
          <w:szCs w:val="28"/>
        </w:rPr>
        <w:t>）</w:t>
      </w:r>
      <w:r>
        <w:rPr>
          <w:rFonts w:hint="eastAsia" w:ascii="仿宋" w:hAnsi="仿宋" w:eastAsia="仿宋" w:cs="仿宋"/>
          <w:sz w:val="28"/>
          <w:szCs w:val="28"/>
          <w:lang w:val="en-US" w:eastAsia="zh-Hans"/>
        </w:rPr>
        <w:t>著作类别由学校组织专家组评定，加分权重按学校的文件认定</w:t>
      </w:r>
      <w:r>
        <w:rPr>
          <w:rFonts w:hint="eastAsia" w:ascii="仿宋" w:hAnsi="仿宋" w:eastAsia="仿宋" w:cs="仿宋"/>
          <w:sz w:val="28"/>
          <w:szCs w:val="28"/>
        </w:rPr>
        <w:t>。</w:t>
      </w:r>
    </w:p>
    <w:p w14:paraId="44A7A7BC">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6</w:t>
      </w:r>
      <w:r>
        <w:rPr>
          <w:rFonts w:hint="eastAsia" w:ascii="仿宋" w:hAnsi="仿宋" w:eastAsia="仿宋" w:cs="仿宋"/>
          <w:sz w:val="28"/>
          <w:szCs w:val="28"/>
        </w:rPr>
        <w:t>）科研分计算过程中，</w:t>
      </w:r>
      <w:r>
        <w:rPr>
          <w:rFonts w:hint="eastAsia" w:ascii="仿宋" w:hAnsi="仿宋" w:eastAsia="仿宋" w:cs="仿宋"/>
          <w:sz w:val="28"/>
          <w:szCs w:val="28"/>
          <w:lang w:val="en-US" w:eastAsia="zh-CN"/>
        </w:rPr>
        <w:t>如导师第一作者、研究生为第二作者，视同研究生为第一作者加分；</w:t>
      </w:r>
      <w:r>
        <w:rPr>
          <w:rFonts w:hint="eastAsia" w:ascii="仿宋" w:hAnsi="仿宋" w:eastAsia="仿宋" w:cs="仿宋"/>
          <w:sz w:val="28"/>
          <w:szCs w:val="28"/>
        </w:rPr>
        <w:t>如第一作者不是导师，研究生为第二作者的，按50%计算；若第一、第二作者均为导师（经学校、学院认定的），研究生为第三作者的，可按</w:t>
      </w:r>
      <w:r>
        <w:rPr>
          <w:rFonts w:hint="eastAsia" w:ascii="仿宋" w:hAnsi="仿宋" w:eastAsia="仿宋" w:cs="仿宋"/>
          <w:sz w:val="28"/>
          <w:szCs w:val="28"/>
          <w:lang w:val="en-US" w:eastAsia="zh-CN"/>
        </w:rPr>
        <w:t>50</w:t>
      </w:r>
      <w:r>
        <w:rPr>
          <w:rFonts w:hint="eastAsia" w:ascii="仿宋" w:hAnsi="仿宋" w:eastAsia="仿宋" w:cs="仿宋"/>
          <w:sz w:val="28"/>
          <w:szCs w:val="28"/>
        </w:rPr>
        <w:t>%计算；其他情况下第三作者及以后均不加分。</w:t>
      </w:r>
    </w:p>
    <w:p w14:paraId="741A8738">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7</w:t>
      </w:r>
      <w:r>
        <w:rPr>
          <w:rFonts w:hint="eastAsia" w:ascii="仿宋" w:hAnsi="仿宋" w:eastAsia="仿宋" w:cs="仿宋"/>
          <w:sz w:val="28"/>
          <w:szCs w:val="28"/>
        </w:rPr>
        <w:t>）同一科研成果在上一次助研考核时已使用的，不能在第二次助研考核中使用。</w:t>
      </w:r>
    </w:p>
    <w:p w14:paraId="2EA87DBA">
      <w:pPr>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rPr>
        <w:t>（</w:t>
      </w:r>
      <w:r>
        <w:rPr>
          <w:rFonts w:hint="eastAsia" w:ascii="仿宋" w:hAnsi="仿宋" w:eastAsia="仿宋" w:cs="仿宋"/>
          <w:sz w:val="28"/>
          <w:szCs w:val="28"/>
          <w:lang w:val="en-US" w:eastAsia="zh-CN"/>
        </w:rPr>
        <w:t>8</w:t>
      </w:r>
      <w:r>
        <w:rPr>
          <w:rFonts w:hint="eastAsia" w:ascii="仿宋" w:hAnsi="仿宋" w:eastAsia="仿宋" w:cs="仿宋"/>
          <w:sz w:val="28"/>
          <w:szCs w:val="28"/>
        </w:rPr>
        <w:t>）</w:t>
      </w:r>
      <w:r>
        <w:rPr>
          <w:rFonts w:hint="eastAsia" w:ascii="仿宋" w:hAnsi="仿宋" w:eastAsia="仿宋" w:cs="仿宋"/>
          <w:sz w:val="28"/>
          <w:szCs w:val="28"/>
          <w:lang w:val="en-US" w:eastAsia="zh-Hans"/>
        </w:rPr>
        <w:t>所有科研成果需提交刊物原件或在线发表为准，其中在线发表需有期刊刊发日期、DOI号等</w:t>
      </w:r>
      <w:r>
        <w:rPr>
          <w:rFonts w:hint="eastAsia" w:ascii="仿宋" w:hAnsi="仿宋" w:eastAsia="仿宋" w:cs="仿宋"/>
          <w:sz w:val="28"/>
          <w:szCs w:val="28"/>
        </w:rPr>
        <w:t>。有录用通知书的科研论文加分减半</w:t>
      </w:r>
      <w:r>
        <w:rPr>
          <w:rFonts w:hint="eastAsia" w:ascii="仿宋" w:hAnsi="仿宋" w:eastAsia="仿宋" w:cs="仿宋"/>
          <w:sz w:val="28"/>
          <w:szCs w:val="28"/>
          <w:lang w:eastAsia="zh-CN"/>
        </w:rPr>
        <w:t>。</w:t>
      </w:r>
    </w:p>
    <w:p w14:paraId="6AC95151">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w:t>
      </w:r>
      <w:r>
        <w:rPr>
          <w:rFonts w:hint="eastAsia" w:ascii="仿宋" w:hAnsi="仿宋" w:eastAsia="仿宋" w:cs="仿宋"/>
          <w:sz w:val="28"/>
          <w:szCs w:val="28"/>
          <w:lang w:val="en-US" w:eastAsia="zh-CN"/>
        </w:rPr>
        <w:t>9</w:t>
      </w:r>
      <w:r>
        <w:rPr>
          <w:rFonts w:hint="eastAsia" w:ascii="仿宋" w:hAnsi="仿宋" w:eastAsia="仿宋" w:cs="仿宋"/>
          <w:sz w:val="28"/>
          <w:szCs w:val="28"/>
        </w:rPr>
        <w:t>）学术会议级别认定根据主办单位级别和实际情况确定。</w:t>
      </w:r>
    </w:p>
    <w:p w14:paraId="0C81B850">
      <w:pPr>
        <w:spacing w:line="56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（10）其他未尽事宜由学院学术委员会审定。</w:t>
      </w:r>
    </w:p>
    <w:p w14:paraId="14B4AAC4">
      <w:pPr>
        <w:spacing w:line="560" w:lineRule="exact"/>
        <w:ind w:firstLine="562" w:firstLineChars="200"/>
        <w:rPr>
          <w:rFonts w:ascii="仿宋" w:hAnsi="仿宋" w:eastAsia="仿宋" w:cs="仿宋"/>
          <w:sz w:val="28"/>
          <w:szCs w:val="28"/>
        </w:rPr>
      </w:pPr>
      <w:r>
        <w:rPr>
          <w:rFonts w:hint="eastAsia" w:ascii="仿宋" w:hAnsi="仿宋" w:eastAsia="仿宋" w:cs="仿宋"/>
          <w:b/>
          <w:bCs/>
          <w:sz w:val="28"/>
          <w:szCs w:val="28"/>
        </w:rPr>
        <w:t xml:space="preserve">第十二条 </w:t>
      </w:r>
      <w:r>
        <w:rPr>
          <w:rFonts w:hint="eastAsia" w:ascii="仿宋" w:hAnsi="仿宋" w:eastAsia="仿宋" w:cs="仿宋"/>
          <w:sz w:val="28"/>
          <w:szCs w:val="28"/>
        </w:rPr>
        <w:t>学科竞赛</w:t>
      </w:r>
    </w:p>
    <w:p w14:paraId="071536A6">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参加学科竞赛并获奖的，具体标准如下</w:t>
      </w:r>
    </w:p>
    <w:p w14:paraId="3AB34C4C">
      <w:pPr>
        <w:spacing w:line="560" w:lineRule="exact"/>
        <w:jc w:val="center"/>
        <w:rPr>
          <w:rFonts w:ascii="仿宋" w:hAnsi="仿宋" w:eastAsia="仿宋" w:cs="仿宋"/>
          <w:sz w:val="28"/>
          <w:szCs w:val="28"/>
        </w:rPr>
      </w:pPr>
      <w:r>
        <w:rPr>
          <w:rFonts w:hint="eastAsia" w:eastAsia="仿宋"/>
          <w:b/>
          <w:bCs/>
          <w:kern w:val="0"/>
          <w:szCs w:val="32"/>
        </w:rPr>
        <w:t>表</w:t>
      </w:r>
      <w:r>
        <w:rPr>
          <w:rFonts w:hint="eastAsia" w:eastAsia="仿宋"/>
          <w:b/>
          <w:bCs/>
          <w:kern w:val="0"/>
          <w:szCs w:val="32"/>
          <w:lang w:val="en-US" w:eastAsia="zh-CN"/>
        </w:rPr>
        <w:t>3</w:t>
      </w:r>
      <w:r>
        <w:rPr>
          <w:rFonts w:hint="eastAsia" w:eastAsia="仿宋"/>
          <w:b/>
          <w:bCs/>
          <w:kern w:val="0"/>
          <w:szCs w:val="32"/>
        </w:rPr>
        <w:t>学科竞赛奖励标准</w:t>
      </w:r>
    </w:p>
    <w:tbl>
      <w:tblPr>
        <w:tblStyle w:val="6"/>
        <w:tblW w:w="92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0"/>
        <w:gridCol w:w="5378"/>
        <w:gridCol w:w="2850"/>
      </w:tblGrid>
      <w:tr w14:paraId="35B8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980" w:type="dxa"/>
            <w:vAlign w:val="center"/>
          </w:tcPr>
          <w:p w14:paraId="086EC2D5">
            <w:pPr>
              <w:jc w:val="center"/>
              <w:rPr>
                <w:rFonts w:ascii="仿宋" w:hAnsi="仿宋" w:eastAsia="仿宋" w:cs="仿宋"/>
                <w:b/>
                <w:bCs/>
                <w:sz w:val="22"/>
                <w:szCs w:val="22"/>
              </w:rPr>
            </w:pPr>
            <w:r>
              <w:rPr>
                <w:rFonts w:hint="eastAsia" w:ascii="仿宋" w:hAnsi="仿宋" w:eastAsia="仿宋" w:cs="仿宋"/>
                <w:b/>
                <w:bCs/>
                <w:sz w:val="22"/>
                <w:szCs w:val="22"/>
              </w:rPr>
              <w:t>类别</w:t>
            </w:r>
          </w:p>
        </w:tc>
        <w:tc>
          <w:tcPr>
            <w:tcW w:w="5378" w:type="dxa"/>
            <w:vAlign w:val="center"/>
          </w:tcPr>
          <w:p w14:paraId="4F2E70D6">
            <w:pPr>
              <w:jc w:val="center"/>
              <w:rPr>
                <w:rFonts w:ascii="仿宋" w:hAnsi="仿宋" w:eastAsia="仿宋" w:cs="仿宋"/>
                <w:b/>
                <w:bCs/>
                <w:sz w:val="22"/>
                <w:szCs w:val="22"/>
              </w:rPr>
            </w:pPr>
            <w:r>
              <w:rPr>
                <w:rFonts w:hint="eastAsia" w:ascii="仿宋" w:hAnsi="仿宋" w:eastAsia="仿宋" w:cs="仿宋"/>
                <w:b/>
                <w:bCs/>
                <w:sz w:val="22"/>
                <w:szCs w:val="22"/>
              </w:rPr>
              <w:t>学科竞赛名称</w:t>
            </w:r>
          </w:p>
        </w:tc>
        <w:tc>
          <w:tcPr>
            <w:tcW w:w="2850" w:type="dxa"/>
            <w:vAlign w:val="center"/>
          </w:tcPr>
          <w:p w14:paraId="1C41778E">
            <w:pPr>
              <w:jc w:val="center"/>
              <w:rPr>
                <w:rFonts w:ascii="仿宋" w:hAnsi="仿宋" w:eastAsia="仿宋" w:cs="仿宋"/>
                <w:b/>
                <w:bCs/>
                <w:sz w:val="22"/>
                <w:szCs w:val="22"/>
              </w:rPr>
            </w:pPr>
            <w:r>
              <w:rPr>
                <w:rFonts w:hint="eastAsia" w:ascii="仿宋" w:hAnsi="仿宋" w:eastAsia="仿宋" w:cs="仿宋"/>
                <w:b/>
                <w:bCs/>
                <w:sz w:val="22"/>
                <w:szCs w:val="22"/>
              </w:rPr>
              <w:t>奖励标准</w:t>
            </w:r>
          </w:p>
        </w:tc>
      </w:tr>
      <w:tr w14:paraId="39E2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80" w:type="dxa"/>
            <w:vAlign w:val="center"/>
          </w:tcPr>
          <w:p w14:paraId="32D2CAE7">
            <w:pPr>
              <w:jc w:val="center"/>
              <w:rPr>
                <w:rFonts w:ascii="仿宋" w:hAnsi="仿宋" w:eastAsia="仿宋" w:cs="仿宋"/>
                <w:b/>
                <w:bCs/>
                <w:sz w:val="22"/>
                <w:szCs w:val="22"/>
              </w:rPr>
            </w:pPr>
            <w:r>
              <w:rPr>
                <w:rFonts w:hint="eastAsia" w:ascii="仿宋" w:hAnsi="仿宋" w:eastAsia="仿宋" w:cs="仿宋"/>
                <w:b/>
                <w:bCs/>
                <w:sz w:val="22"/>
                <w:szCs w:val="22"/>
              </w:rPr>
              <w:t>第一类</w:t>
            </w:r>
          </w:p>
        </w:tc>
        <w:tc>
          <w:tcPr>
            <w:tcW w:w="5378" w:type="dxa"/>
            <w:vAlign w:val="center"/>
          </w:tcPr>
          <w:p w14:paraId="64988410">
            <w:pPr>
              <w:jc w:val="center"/>
              <w:rPr>
                <w:rFonts w:ascii="仿宋" w:hAnsi="仿宋" w:eastAsia="仿宋" w:cs="仿宋"/>
                <w:sz w:val="22"/>
                <w:szCs w:val="22"/>
              </w:rPr>
            </w:pPr>
            <w:r>
              <w:rPr>
                <w:rFonts w:hint="eastAsia" w:ascii="仿宋" w:hAnsi="仿宋" w:eastAsia="仿宋" w:cs="仿宋"/>
                <w:sz w:val="22"/>
                <w:szCs w:val="22"/>
              </w:rPr>
              <w:t>“</w:t>
            </w:r>
            <w:r>
              <w:rPr>
                <w:rFonts w:ascii="仿宋" w:hAnsi="仿宋" w:eastAsia="仿宋" w:cs="仿宋"/>
                <w:sz w:val="22"/>
                <w:szCs w:val="22"/>
              </w:rPr>
              <w:t>互联网+</w:t>
            </w:r>
            <w:r>
              <w:rPr>
                <w:rFonts w:hint="eastAsia" w:ascii="仿宋" w:hAnsi="仿宋" w:eastAsia="仿宋" w:cs="仿宋"/>
                <w:sz w:val="22"/>
                <w:szCs w:val="22"/>
              </w:rPr>
              <w:t>”</w:t>
            </w:r>
            <w:r>
              <w:rPr>
                <w:rFonts w:ascii="仿宋" w:hAnsi="仿宋" w:eastAsia="仿宋" w:cs="仿宋"/>
                <w:sz w:val="22"/>
                <w:szCs w:val="22"/>
              </w:rPr>
              <w:t>、“挑战杯</w:t>
            </w:r>
            <w:r>
              <w:rPr>
                <w:rFonts w:hint="eastAsia" w:ascii="仿宋" w:hAnsi="仿宋" w:eastAsia="仿宋" w:cs="仿宋"/>
                <w:sz w:val="22"/>
                <w:szCs w:val="22"/>
              </w:rPr>
              <w:t>”</w:t>
            </w:r>
            <w:r>
              <w:rPr>
                <w:rFonts w:ascii="仿宋" w:hAnsi="仿宋" w:eastAsia="仿宋" w:cs="仿宋"/>
                <w:sz w:val="22"/>
                <w:szCs w:val="22"/>
              </w:rPr>
              <w:t>系列赛事</w:t>
            </w:r>
          </w:p>
        </w:tc>
        <w:tc>
          <w:tcPr>
            <w:tcW w:w="2850" w:type="dxa"/>
            <w:vAlign w:val="center"/>
          </w:tcPr>
          <w:p w14:paraId="323339D0">
            <w:pPr>
              <w:jc w:val="center"/>
              <w:rPr>
                <w:rFonts w:ascii="仿宋" w:hAnsi="仿宋" w:eastAsia="仿宋" w:cs="仿宋"/>
                <w:sz w:val="22"/>
                <w:szCs w:val="22"/>
              </w:rPr>
            </w:pPr>
            <w:r>
              <w:rPr>
                <w:rFonts w:hint="eastAsia" w:ascii="仿宋" w:hAnsi="仿宋" w:eastAsia="仿宋" w:cs="仿宋"/>
                <w:sz w:val="22"/>
                <w:szCs w:val="22"/>
              </w:rPr>
              <w:t>按对应等级标准150%加分</w:t>
            </w:r>
          </w:p>
        </w:tc>
      </w:tr>
      <w:tr w14:paraId="304B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980" w:type="dxa"/>
            <w:vAlign w:val="center"/>
          </w:tcPr>
          <w:p w14:paraId="689CDA13">
            <w:pPr>
              <w:jc w:val="center"/>
              <w:rPr>
                <w:rFonts w:ascii="仿宋" w:hAnsi="仿宋" w:eastAsia="仿宋" w:cs="仿宋"/>
                <w:b/>
                <w:bCs/>
                <w:sz w:val="22"/>
                <w:szCs w:val="22"/>
              </w:rPr>
            </w:pPr>
            <w:r>
              <w:rPr>
                <w:rFonts w:hint="eastAsia" w:ascii="仿宋" w:hAnsi="仿宋" w:eastAsia="仿宋" w:cs="仿宋"/>
                <w:b/>
                <w:bCs/>
                <w:sz w:val="22"/>
                <w:szCs w:val="22"/>
              </w:rPr>
              <w:t>第二类</w:t>
            </w:r>
          </w:p>
        </w:tc>
        <w:tc>
          <w:tcPr>
            <w:tcW w:w="5378" w:type="dxa"/>
            <w:vAlign w:val="center"/>
          </w:tcPr>
          <w:p w14:paraId="4A14B906">
            <w:pPr>
              <w:jc w:val="center"/>
              <w:rPr>
                <w:rFonts w:ascii="仿宋" w:hAnsi="仿宋" w:eastAsia="仿宋" w:cs="仿宋"/>
                <w:sz w:val="22"/>
                <w:szCs w:val="22"/>
              </w:rPr>
            </w:pPr>
            <w:r>
              <w:rPr>
                <w:rFonts w:ascii="仿宋" w:hAnsi="仿宋" w:eastAsia="仿宋" w:cs="仿宋"/>
                <w:sz w:val="22"/>
                <w:szCs w:val="22"/>
              </w:rPr>
              <w:t>中国研究生创新实践系列大赛、全国各专业</w:t>
            </w:r>
            <w:r>
              <w:rPr>
                <w:rFonts w:hint="eastAsia" w:ascii="仿宋" w:hAnsi="仿宋" w:eastAsia="仿宋" w:cs="仿宋"/>
                <w:sz w:val="22"/>
                <w:szCs w:val="22"/>
              </w:rPr>
              <w:t>学位研究生教育指导委员会主办的专业技能大赛（研究生部分）</w:t>
            </w:r>
          </w:p>
        </w:tc>
        <w:tc>
          <w:tcPr>
            <w:tcW w:w="2850" w:type="dxa"/>
            <w:vAlign w:val="center"/>
          </w:tcPr>
          <w:p w14:paraId="682732E6">
            <w:pPr>
              <w:jc w:val="center"/>
              <w:rPr>
                <w:rFonts w:ascii="仿宋" w:hAnsi="仿宋" w:eastAsia="仿宋" w:cs="仿宋"/>
                <w:sz w:val="22"/>
                <w:szCs w:val="22"/>
              </w:rPr>
            </w:pPr>
            <w:r>
              <w:rPr>
                <w:rFonts w:hint="eastAsia" w:ascii="仿宋" w:hAnsi="仿宋" w:eastAsia="仿宋" w:cs="仿宋"/>
                <w:sz w:val="22"/>
                <w:szCs w:val="22"/>
              </w:rPr>
              <w:t>按对应等级标准1</w:t>
            </w:r>
            <w:r>
              <w:rPr>
                <w:rFonts w:hint="eastAsia" w:ascii="仿宋" w:hAnsi="仿宋" w:eastAsia="仿宋" w:cs="仿宋"/>
                <w:sz w:val="22"/>
                <w:szCs w:val="22"/>
                <w:lang w:val="en-US" w:eastAsia="zh-CN"/>
              </w:rPr>
              <w:t>20</w:t>
            </w:r>
            <w:r>
              <w:rPr>
                <w:rFonts w:hint="eastAsia" w:ascii="仿宋" w:hAnsi="仿宋" w:eastAsia="仿宋" w:cs="仿宋"/>
                <w:sz w:val="22"/>
                <w:szCs w:val="22"/>
              </w:rPr>
              <w:t>%加分</w:t>
            </w:r>
          </w:p>
        </w:tc>
      </w:tr>
      <w:tr w14:paraId="73FFD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8" w:hRule="atLeast"/>
        </w:trPr>
        <w:tc>
          <w:tcPr>
            <w:tcW w:w="980" w:type="dxa"/>
            <w:vAlign w:val="center"/>
          </w:tcPr>
          <w:p w14:paraId="2366DA76">
            <w:pPr>
              <w:jc w:val="center"/>
              <w:rPr>
                <w:rFonts w:ascii="仿宋" w:hAnsi="仿宋" w:eastAsia="仿宋" w:cs="仿宋"/>
                <w:b/>
                <w:bCs/>
                <w:sz w:val="22"/>
                <w:szCs w:val="22"/>
              </w:rPr>
            </w:pPr>
            <w:r>
              <w:rPr>
                <w:rFonts w:hint="eastAsia" w:ascii="仿宋" w:hAnsi="仿宋" w:eastAsia="仿宋" w:cs="仿宋"/>
                <w:b/>
                <w:bCs/>
                <w:sz w:val="22"/>
                <w:szCs w:val="22"/>
              </w:rPr>
              <w:t>第三类</w:t>
            </w:r>
          </w:p>
        </w:tc>
        <w:tc>
          <w:tcPr>
            <w:tcW w:w="5378" w:type="dxa"/>
            <w:vAlign w:val="center"/>
          </w:tcPr>
          <w:p w14:paraId="56538B0F">
            <w:pPr>
              <w:jc w:val="center"/>
              <w:rPr>
                <w:rFonts w:ascii="仿宋" w:hAnsi="仿宋" w:eastAsia="仿宋" w:cs="仿宋"/>
                <w:sz w:val="22"/>
                <w:szCs w:val="22"/>
              </w:rPr>
            </w:pPr>
            <w:r>
              <w:rPr>
                <w:rFonts w:hint="eastAsia" w:ascii="仿宋" w:hAnsi="仿宋" w:eastAsia="仿宋" w:cs="仿宋"/>
                <w:sz w:val="22"/>
                <w:szCs w:val="22"/>
              </w:rPr>
              <w:t>浙江师范大学学科竞赛组织委员会认可的AB类学科竞赛（第一、第二类除外）、研究生社会调查报告大赛、经学校认定的各研究生培养单位自行指定的学科竞赛</w:t>
            </w:r>
          </w:p>
        </w:tc>
        <w:tc>
          <w:tcPr>
            <w:tcW w:w="2850" w:type="dxa"/>
            <w:vAlign w:val="center"/>
          </w:tcPr>
          <w:p w14:paraId="769A4276">
            <w:pPr>
              <w:jc w:val="center"/>
              <w:rPr>
                <w:rFonts w:hint="eastAsia" w:ascii="仿宋" w:hAnsi="仿宋" w:eastAsia="仿宋" w:cs="仿宋"/>
                <w:sz w:val="22"/>
                <w:szCs w:val="22"/>
                <w:lang w:val="en-US" w:eastAsia="zh-CN"/>
              </w:rPr>
            </w:pPr>
            <w:r>
              <w:rPr>
                <w:rFonts w:hint="eastAsia" w:ascii="仿宋" w:hAnsi="仿宋" w:eastAsia="仿宋" w:cs="仿宋"/>
                <w:sz w:val="22"/>
                <w:szCs w:val="22"/>
              </w:rPr>
              <w:t>按对应等级标准</w:t>
            </w:r>
            <w:r>
              <w:rPr>
                <w:rFonts w:hint="eastAsia" w:ascii="仿宋" w:hAnsi="仿宋" w:eastAsia="仿宋" w:cs="仿宋"/>
                <w:sz w:val="22"/>
                <w:szCs w:val="22"/>
                <w:lang w:val="en-US" w:eastAsia="zh-CN"/>
              </w:rPr>
              <w:t>加分</w:t>
            </w:r>
          </w:p>
        </w:tc>
      </w:tr>
    </w:tbl>
    <w:p w14:paraId="4AE5FFD2">
      <w:pPr>
        <w:spacing w:line="560" w:lineRule="exact"/>
        <w:jc w:val="left"/>
        <w:rPr>
          <w:rFonts w:ascii="仿宋" w:hAnsi="仿宋" w:eastAsia="仿宋" w:cs="仿宋"/>
          <w:sz w:val="28"/>
          <w:szCs w:val="28"/>
        </w:rPr>
      </w:pPr>
      <w:r>
        <w:rPr>
          <w:rFonts w:hint="eastAsia" w:ascii="仿宋" w:hAnsi="仿宋" w:eastAsia="仿宋" w:cs="仿宋"/>
          <w:sz w:val="28"/>
          <w:szCs w:val="28"/>
        </w:rPr>
        <w:t>具体加分标准如下：</w:t>
      </w:r>
    </w:p>
    <w:tbl>
      <w:tblPr>
        <w:tblStyle w:val="5"/>
        <w:tblpPr w:leftFromText="180" w:rightFromText="180" w:vertAnchor="text" w:horzAnchor="page" w:tblpX="1341" w:tblpY="610"/>
        <w:tblOverlap w:val="never"/>
        <w:tblW w:w="9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25"/>
        <w:gridCol w:w="801"/>
        <w:gridCol w:w="801"/>
        <w:gridCol w:w="801"/>
        <w:gridCol w:w="801"/>
        <w:gridCol w:w="801"/>
        <w:gridCol w:w="801"/>
        <w:gridCol w:w="801"/>
        <w:gridCol w:w="801"/>
        <w:gridCol w:w="802"/>
      </w:tblGrid>
      <w:tr w14:paraId="5D15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3" w:hRule="atLeast"/>
        </w:trPr>
        <w:tc>
          <w:tcPr>
            <w:tcW w:w="1925" w:type="dxa"/>
            <w:vMerge w:val="restart"/>
            <w:vAlign w:val="center"/>
          </w:tcPr>
          <w:p w14:paraId="3C354DB0">
            <w:pPr>
              <w:jc w:val="center"/>
              <w:rPr>
                <w:rFonts w:ascii="仿宋" w:hAnsi="仿宋" w:eastAsia="仿宋" w:cs="仿宋"/>
                <w:sz w:val="22"/>
                <w:szCs w:val="22"/>
              </w:rPr>
            </w:pPr>
            <w:r>
              <w:rPr>
                <w:rFonts w:hint="eastAsia" w:ascii="仿宋" w:hAnsi="仿宋" w:eastAsia="仿宋" w:cs="仿宋"/>
                <w:sz w:val="22"/>
                <w:szCs w:val="22"/>
              </w:rPr>
              <w:t>获奖</w:t>
            </w:r>
          </w:p>
          <w:p w14:paraId="1E420EDC">
            <w:pPr>
              <w:jc w:val="center"/>
              <w:rPr>
                <w:rFonts w:ascii="仿宋" w:hAnsi="仿宋" w:eastAsia="仿宋" w:cs="仿宋"/>
                <w:sz w:val="22"/>
                <w:szCs w:val="22"/>
              </w:rPr>
            </w:pPr>
            <w:r>
              <w:rPr>
                <w:rFonts w:hint="eastAsia" w:ascii="仿宋" w:hAnsi="仿宋" w:eastAsia="仿宋" w:cs="仿宋"/>
                <w:sz w:val="22"/>
                <w:szCs w:val="22"/>
              </w:rPr>
              <w:t>等级</w:t>
            </w:r>
          </w:p>
        </w:tc>
        <w:tc>
          <w:tcPr>
            <w:tcW w:w="2403" w:type="dxa"/>
            <w:gridSpan w:val="3"/>
            <w:vAlign w:val="center"/>
          </w:tcPr>
          <w:p w14:paraId="77345709">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国家级</w:t>
            </w:r>
          </w:p>
        </w:tc>
        <w:tc>
          <w:tcPr>
            <w:tcW w:w="2403" w:type="dxa"/>
            <w:gridSpan w:val="3"/>
            <w:vAlign w:val="center"/>
          </w:tcPr>
          <w:p w14:paraId="07BD71E1">
            <w:pPr>
              <w:jc w:val="center"/>
              <w:rPr>
                <w:rFonts w:hint="eastAsia" w:ascii="仿宋" w:hAnsi="仿宋" w:eastAsia="仿宋" w:cs="仿宋"/>
                <w:sz w:val="22"/>
                <w:szCs w:val="22"/>
                <w:lang w:val="en-US" w:eastAsia="zh-CN"/>
              </w:rPr>
            </w:pPr>
            <w:r>
              <w:rPr>
                <w:rFonts w:hint="eastAsia" w:ascii="仿宋" w:hAnsi="仿宋" w:eastAsia="仿宋" w:cs="仿宋"/>
                <w:sz w:val="22"/>
                <w:szCs w:val="22"/>
                <w:lang w:val="en-US" w:eastAsia="zh-CN"/>
              </w:rPr>
              <w:t>省部级</w:t>
            </w:r>
          </w:p>
        </w:tc>
        <w:tc>
          <w:tcPr>
            <w:tcW w:w="2404" w:type="dxa"/>
            <w:gridSpan w:val="3"/>
            <w:vAlign w:val="center"/>
          </w:tcPr>
          <w:p w14:paraId="10A00EE1">
            <w:pPr>
              <w:jc w:val="center"/>
              <w:rPr>
                <w:rFonts w:hint="eastAsia" w:ascii="仿宋" w:hAnsi="仿宋" w:eastAsia="仿宋" w:cs="仿宋"/>
                <w:sz w:val="22"/>
                <w:szCs w:val="22"/>
              </w:rPr>
            </w:pPr>
            <w:r>
              <w:rPr>
                <w:rFonts w:hint="eastAsia" w:ascii="仿宋" w:hAnsi="仿宋" w:eastAsia="仿宋" w:cs="仿宋"/>
                <w:sz w:val="22"/>
                <w:szCs w:val="22"/>
              </w:rPr>
              <w:t>校级</w:t>
            </w:r>
          </w:p>
        </w:tc>
      </w:tr>
      <w:tr w14:paraId="1C3E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8" w:hRule="atLeast"/>
        </w:trPr>
        <w:tc>
          <w:tcPr>
            <w:tcW w:w="1925" w:type="dxa"/>
            <w:vMerge w:val="continue"/>
            <w:vAlign w:val="center"/>
          </w:tcPr>
          <w:p w14:paraId="17CCE96F">
            <w:pPr>
              <w:jc w:val="center"/>
              <w:rPr>
                <w:rFonts w:ascii="仿宋" w:hAnsi="仿宋" w:eastAsia="仿宋" w:cs="仿宋"/>
                <w:sz w:val="22"/>
                <w:szCs w:val="22"/>
              </w:rPr>
            </w:pPr>
          </w:p>
        </w:tc>
        <w:tc>
          <w:tcPr>
            <w:tcW w:w="801" w:type="dxa"/>
            <w:vAlign w:val="center"/>
          </w:tcPr>
          <w:p w14:paraId="2A79FBC1">
            <w:pPr>
              <w:jc w:val="center"/>
              <w:rPr>
                <w:rFonts w:ascii="仿宋" w:hAnsi="仿宋" w:eastAsia="仿宋" w:cs="仿宋"/>
                <w:sz w:val="22"/>
                <w:szCs w:val="22"/>
              </w:rPr>
            </w:pPr>
            <w:r>
              <w:rPr>
                <w:rFonts w:hint="eastAsia" w:ascii="仿宋" w:hAnsi="仿宋" w:eastAsia="仿宋" w:cs="仿宋"/>
                <w:sz w:val="22"/>
                <w:szCs w:val="22"/>
              </w:rPr>
              <w:t>一</w:t>
            </w:r>
          </w:p>
        </w:tc>
        <w:tc>
          <w:tcPr>
            <w:tcW w:w="801" w:type="dxa"/>
            <w:vAlign w:val="center"/>
          </w:tcPr>
          <w:p w14:paraId="1CC1BFEB">
            <w:pPr>
              <w:jc w:val="center"/>
              <w:rPr>
                <w:rFonts w:ascii="仿宋" w:hAnsi="仿宋" w:eastAsia="仿宋" w:cs="仿宋"/>
                <w:sz w:val="22"/>
                <w:szCs w:val="22"/>
              </w:rPr>
            </w:pPr>
            <w:r>
              <w:rPr>
                <w:rFonts w:hint="eastAsia" w:ascii="仿宋" w:hAnsi="仿宋" w:eastAsia="仿宋" w:cs="仿宋"/>
                <w:sz w:val="22"/>
                <w:szCs w:val="22"/>
              </w:rPr>
              <w:t>二</w:t>
            </w:r>
          </w:p>
        </w:tc>
        <w:tc>
          <w:tcPr>
            <w:tcW w:w="801" w:type="dxa"/>
            <w:vAlign w:val="center"/>
          </w:tcPr>
          <w:p w14:paraId="4E03221C">
            <w:pPr>
              <w:jc w:val="center"/>
              <w:rPr>
                <w:rFonts w:ascii="仿宋" w:hAnsi="仿宋" w:eastAsia="仿宋" w:cs="仿宋"/>
                <w:sz w:val="22"/>
                <w:szCs w:val="22"/>
              </w:rPr>
            </w:pPr>
            <w:r>
              <w:rPr>
                <w:rFonts w:hint="eastAsia" w:ascii="仿宋" w:hAnsi="仿宋" w:eastAsia="仿宋" w:cs="仿宋"/>
                <w:sz w:val="22"/>
                <w:szCs w:val="22"/>
              </w:rPr>
              <w:t>三</w:t>
            </w:r>
          </w:p>
        </w:tc>
        <w:tc>
          <w:tcPr>
            <w:tcW w:w="801" w:type="dxa"/>
            <w:vAlign w:val="center"/>
          </w:tcPr>
          <w:p w14:paraId="1D50D7C1">
            <w:pPr>
              <w:jc w:val="center"/>
              <w:rPr>
                <w:rFonts w:ascii="仿宋" w:hAnsi="仿宋" w:eastAsia="仿宋" w:cs="仿宋"/>
                <w:sz w:val="22"/>
                <w:szCs w:val="22"/>
              </w:rPr>
            </w:pPr>
            <w:r>
              <w:rPr>
                <w:rFonts w:hint="eastAsia" w:ascii="仿宋" w:hAnsi="仿宋" w:eastAsia="仿宋" w:cs="仿宋"/>
                <w:sz w:val="22"/>
                <w:szCs w:val="22"/>
              </w:rPr>
              <w:t>一</w:t>
            </w:r>
          </w:p>
        </w:tc>
        <w:tc>
          <w:tcPr>
            <w:tcW w:w="801" w:type="dxa"/>
            <w:vAlign w:val="center"/>
          </w:tcPr>
          <w:p w14:paraId="38474B18">
            <w:pPr>
              <w:jc w:val="center"/>
              <w:rPr>
                <w:rFonts w:ascii="仿宋" w:hAnsi="仿宋" w:eastAsia="仿宋" w:cs="仿宋"/>
                <w:sz w:val="22"/>
                <w:szCs w:val="22"/>
              </w:rPr>
            </w:pPr>
            <w:r>
              <w:rPr>
                <w:rFonts w:hint="eastAsia" w:ascii="仿宋" w:hAnsi="仿宋" w:eastAsia="仿宋" w:cs="仿宋"/>
                <w:sz w:val="22"/>
                <w:szCs w:val="22"/>
              </w:rPr>
              <w:t>二</w:t>
            </w:r>
          </w:p>
        </w:tc>
        <w:tc>
          <w:tcPr>
            <w:tcW w:w="801" w:type="dxa"/>
            <w:vAlign w:val="center"/>
          </w:tcPr>
          <w:p w14:paraId="2C3BE43C">
            <w:pPr>
              <w:jc w:val="center"/>
              <w:rPr>
                <w:rFonts w:ascii="仿宋" w:hAnsi="仿宋" w:eastAsia="仿宋" w:cs="仿宋"/>
                <w:sz w:val="22"/>
                <w:szCs w:val="22"/>
              </w:rPr>
            </w:pPr>
            <w:r>
              <w:rPr>
                <w:rFonts w:hint="eastAsia" w:ascii="仿宋" w:hAnsi="仿宋" w:eastAsia="仿宋" w:cs="仿宋"/>
                <w:sz w:val="22"/>
                <w:szCs w:val="22"/>
              </w:rPr>
              <w:t>三</w:t>
            </w:r>
          </w:p>
        </w:tc>
        <w:tc>
          <w:tcPr>
            <w:tcW w:w="801" w:type="dxa"/>
            <w:vAlign w:val="center"/>
          </w:tcPr>
          <w:p w14:paraId="7EFE58A7">
            <w:pPr>
              <w:jc w:val="center"/>
              <w:rPr>
                <w:rFonts w:ascii="仿宋" w:hAnsi="仿宋" w:eastAsia="仿宋" w:cs="仿宋"/>
                <w:sz w:val="22"/>
                <w:szCs w:val="22"/>
              </w:rPr>
            </w:pPr>
            <w:r>
              <w:rPr>
                <w:rFonts w:hint="eastAsia" w:ascii="仿宋" w:hAnsi="仿宋" w:eastAsia="仿宋" w:cs="仿宋"/>
                <w:sz w:val="22"/>
                <w:szCs w:val="22"/>
              </w:rPr>
              <w:t>一</w:t>
            </w:r>
          </w:p>
        </w:tc>
        <w:tc>
          <w:tcPr>
            <w:tcW w:w="801" w:type="dxa"/>
            <w:vAlign w:val="center"/>
          </w:tcPr>
          <w:p w14:paraId="5CC64481">
            <w:pPr>
              <w:jc w:val="center"/>
              <w:rPr>
                <w:rFonts w:ascii="仿宋" w:hAnsi="仿宋" w:eastAsia="仿宋" w:cs="仿宋"/>
                <w:sz w:val="22"/>
                <w:szCs w:val="22"/>
              </w:rPr>
            </w:pPr>
            <w:r>
              <w:rPr>
                <w:rFonts w:hint="eastAsia" w:ascii="仿宋" w:hAnsi="仿宋" w:eastAsia="仿宋" w:cs="仿宋"/>
                <w:sz w:val="22"/>
                <w:szCs w:val="22"/>
              </w:rPr>
              <w:t>二</w:t>
            </w:r>
          </w:p>
        </w:tc>
        <w:tc>
          <w:tcPr>
            <w:tcW w:w="802" w:type="dxa"/>
            <w:vAlign w:val="center"/>
          </w:tcPr>
          <w:p w14:paraId="4BAAD09E">
            <w:pPr>
              <w:jc w:val="center"/>
              <w:rPr>
                <w:rFonts w:ascii="仿宋" w:hAnsi="仿宋" w:eastAsia="仿宋" w:cs="仿宋"/>
                <w:sz w:val="22"/>
                <w:szCs w:val="22"/>
              </w:rPr>
            </w:pPr>
            <w:r>
              <w:rPr>
                <w:rFonts w:hint="eastAsia" w:ascii="仿宋" w:hAnsi="仿宋" w:eastAsia="仿宋" w:cs="仿宋"/>
                <w:sz w:val="22"/>
                <w:szCs w:val="22"/>
              </w:rPr>
              <w:t>三</w:t>
            </w:r>
          </w:p>
        </w:tc>
      </w:tr>
      <w:tr w14:paraId="05940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3" w:hRule="atLeast"/>
        </w:trPr>
        <w:tc>
          <w:tcPr>
            <w:tcW w:w="1925" w:type="dxa"/>
            <w:vAlign w:val="center"/>
          </w:tcPr>
          <w:p w14:paraId="4D34A642">
            <w:pPr>
              <w:jc w:val="center"/>
              <w:rPr>
                <w:rFonts w:ascii="仿宋" w:hAnsi="仿宋" w:eastAsia="仿宋" w:cs="仿宋"/>
                <w:sz w:val="22"/>
                <w:szCs w:val="22"/>
              </w:rPr>
            </w:pPr>
            <w:r>
              <w:rPr>
                <w:rFonts w:hint="eastAsia" w:ascii="仿宋" w:hAnsi="仿宋" w:eastAsia="仿宋" w:cs="仿宋"/>
                <w:sz w:val="22"/>
                <w:szCs w:val="22"/>
              </w:rPr>
              <w:t>分值</w:t>
            </w:r>
          </w:p>
          <w:p w14:paraId="6D9D4378">
            <w:pPr>
              <w:jc w:val="center"/>
              <w:rPr>
                <w:rFonts w:ascii="仿宋" w:hAnsi="仿宋" w:eastAsia="仿宋" w:cs="仿宋"/>
                <w:sz w:val="22"/>
                <w:szCs w:val="22"/>
              </w:rPr>
            </w:pPr>
            <w:r>
              <w:rPr>
                <w:rFonts w:hint="eastAsia" w:ascii="仿宋" w:hAnsi="仿宋" w:eastAsia="仿宋" w:cs="仿宋"/>
                <w:sz w:val="22"/>
                <w:szCs w:val="22"/>
              </w:rPr>
              <w:t>（分/项）</w:t>
            </w:r>
          </w:p>
        </w:tc>
        <w:tc>
          <w:tcPr>
            <w:tcW w:w="801" w:type="dxa"/>
            <w:vAlign w:val="center"/>
          </w:tcPr>
          <w:p w14:paraId="6B0A50CE">
            <w:pPr>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50</w:t>
            </w:r>
          </w:p>
        </w:tc>
        <w:tc>
          <w:tcPr>
            <w:tcW w:w="801" w:type="dxa"/>
            <w:vAlign w:val="center"/>
          </w:tcPr>
          <w:p w14:paraId="5985AC8F">
            <w:pPr>
              <w:jc w:val="center"/>
              <w:rPr>
                <w:rFonts w:hint="default" w:ascii="仿宋" w:hAnsi="仿宋" w:eastAsia="仿宋" w:cs="仿宋"/>
                <w:sz w:val="22"/>
                <w:szCs w:val="22"/>
                <w:lang w:val="en-US" w:eastAsia="zh-CN"/>
              </w:rPr>
            </w:pPr>
            <w:r>
              <w:rPr>
                <w:rFonts w:hint="eastAsia" w:ascii="仿宋" w:hAnsi="仿宋" w:eastAsia="仿宋" w:cs="仿宋"/>
                <w:sz w:val="22"/>
                <w:szCs w:val="22"/>
                <w:lang w:val="en-US" w:eastAsia="zh-CN"/>
              </w:rPr>
              <w:t>30</w:t>
            </w:r>
          </w:p>
        </w:tc>
        <w:tc>
          <w:tcPr>
            <w:tcW w:w="801" w:type="dxa"/>
            <w:vAlign w:val="center"/>
          </w:tcPr>
          <w:p w14:paraId="479B7415">
            <w:pPr>
              <w:jc w:val="center"/>
              <w:rPr>
                <w:rFonts w:ascii="仿宋" w:hAnsi="仿宋" w:eastAsia="仿宋" w:cs="仿宋"/>
                <w:sz w:val="22"/>
                <w:szCs w:val="22"/>
              </w:rPr>
            </w:pPr>
            <w:r>
              <w:rPr>
                <w:rFonts w:hint="eastAsia" w:ascii="仿宋" w:hAnsi="仿宋" w:eastAsia="仿宋" w:cs="仿宋"/>
                <w:sz w:val="22"/>
                <w:szCs w:val="22"/>
              </w:rPr>
              <w:t>20</w:t>
            </w:r>
          </w:p>
        </w:tc>
        <w:tc>
          <w:tcPr>
            <w:tcW w:w="801" w:type="dxa"/>
            <w:vAlign w:val="center"/>
          </w:tcPr>
          <w:p w14:paraId="07938A99">
            <w:pPr>
              <w:jc w:val="center"/>
              <w:rPr>
                <w:rFonts w:ascii="仿宋" w:hAnsi="仿宋" w:eastAsia="仿宋" w:cs="仿宋"/>
                <w:sz w:val="22"/>
                <w:szCs w:val="22"/>
              </w:rPr>
            </w:pPr>
            <w:r>
              <w:rPr>
                <w:rFonts w:hint="eastAsia" w:ascii="仿宋" w:hAnsi="仿宋" w:eastAsia="仿宋" w:cs="仿宋"/>
                <w:sz w:val="22"/>
                <w:szCs w:val="22"/>
              </w:rPr>
              <w:t>20</w:t>
            </w:r>
          </w:p>
        </w:tc>
        <w:tc>
          <w:tcPr>
            <w:tcW w:w="801" w:type="dxa"/>
            <w:vAlign w:val="center"/>
          </w:tcPr>
          <w:p w14:paraId="555C15EA">
            <w:pPr>
              <w:jc w:val="center"/>
              <w:rPr>
                <w:rFonts w:ascii="仿宋" w:hAnsi="仿宋" w:eastAsia="仿宋" w:cs="仿宋"/>
                <w:sz w:val="22"/>
                <w:szCs w:val="22"/>
              </w:rPr>
            </w:pPr>
            <w:r>
              <w:rPr>
                <w:rFonts w:hint="eastAsia" w:ascii="仿宋" w:hAnsi="仿宋" w:eastAsia="仿宋" w:cs="仿宋"/>
                <w:sz w:val="22"/>
                <w:szCs w:val="22"/>
              </w:rPr>
              <w:t>15</w:t>
            </w:r>
          </w:p>
        </w:tc>
        <w:tc>
          <w:tcPr>
            <w:tcW w:w="801" w:type="dxa"/>
            <w:vAlign w:val="center"/>
          </w:tcPr>
          <w:p w14:paraId="26F2E19A">
            <w:pPr>
              <w:jc w:val="center"/>
              <w:rPr>
                <w:rFonts w:ascii="仿宋" w:hAnsi="仿宋" w:eastAsia="仿宋" w:cs="仿宋"/>
                <w:sz w:val="22"/>
                <w:szCs w:val="22"/>
              </w:rPr>
            </w:pPr>
            <w:r>
              <w:rPr>
                <w:rFonts w:hint="eastAsia" w:ascii="仿宋" w:hAnsi="仿宋" w:eastAsia="仿宋" w:cs="仿宋"/>
                <w:sz w:val="22"/>
                <w:szCs w:val="22"/>
              </w:rPr>
              <w:t>10</w:t>
            </w:r>
          </w:p>
        </w:tc>
        <w:tc>
          <w:tcPr>
            <w:tcW w:w="801" w:type="dxa"/>
            <w:vAlign w:val="center"/>
          </w:tcPr>
          <w:p w14:paraId="4BBB28D7">
            <w:pPr>
              <w:jc w:val="center"/>
              <w:rPr>
                <w:rFonts w:ascii="仿宋" w:hAnsi="仿宋" w:eastAsia="仿宋" w:cs="仿宋"/>
                <w:sz w:val="22"/>
                <w:szCs w:val="22"/>
              </w:rPr>
            </w:pPr>
            <w:r>
              <w:rPr>
                <w:rFonts w:hint="eastAsia" w:ascii="仿宋" w:hAnsi="仿宋" w:eastAsia="仿宋" w:cs="仿宋"/>
                <w:sz w:val="22"/>
                <w:szCs w:val="22"/>
              </w:rPr>
              <w:t>10</w:t>
            </w:r>
          </w:p>
        </w:tc>
        <w:tc>
          <w:tcPr>
            <w:tcW w:w="801" w:type="dxa"/>
            <w:vAlign w:val="center"/>
          </w:tcPr>
          <w:p w14:paraId="606B9797">
            <w:pPr>
              <w:jc w:val="center"/>
              <w:rPr>
                <w:rFonts w:ascii="仿宋" w:hAnsi="仿宋" w:eastAsia="仿宋" w:cs="仿宋"/>
                <w:sz w:val="22"/>
                <w:szCs w:val="22"/>
              </w:rPr>
            </w:pPr>
            <w:r>
              <w:rPr>
                <w:rFonts w:hint="eastAsia" w:ascii="仿宋" w:hAnsi="仿宋" w:eastAsia="仿宋" w:cs="仿宋"/>
                <w:sz w:val="22"/>
                <w:szCs w:val="22"/>
              </w:rPr>
              <w:t>8</w:t>
            </w:r>
          </w:p>
        </w:tc>
        <w:tc>
          <w:tcPr>
            <w:tcW w:w="802" w:type="dxa"/>
            <w:vAlign w:val="center"/>
          </w:tcPr>
          <w:p w14:paraId="0698A05E">
            <w:pPr>
              <w:jc w:val="center"/>
              <w:rPr>
                <w:rFonts w:ascii="仿宋" w:hAnsi="仿宋" w:eastAsia="仿宋" w:cs="仿宋"/>
                <w:sz w:val="22"/>
                <w:szCs w:val="22"/>
              </w:rPr>
            </w:pPr>
            <w:r>
              <w:rPr>
                <w:rFonts w:hint="eastAsia" w:ascii="仿宋" w:hAnsi="仿宋" w:eastAsia="仿宋" w:cs="仿宋"/>
                <w:sz w:val="22"/>
                <w:szCs w:val="22"/>
              </w:rPr>
              <w:t>5</w:t>
            </w:r>
          </w:p>
        </w:tc>
      </w:tr>
    </w:tbl>
    <w:p w14:paraId="6AF40737">
      <w:pPr>
        <w:jc w:val="center"/>
        <w:rPr>
          <w:rFonts w:eastAsia="仿宋"/>
          <w:b/>
          <w:bCs/>
          <w:kern w:val="0"/>
          <w:szCs w:val="32"/>
        </w:rPr>
      </w:pPr>
      <w:r>
        <w:rPr>
          <w:rFonts w:hint="eastAsia" w:eastAsia="仿宋"/>
          <w:b/>
          <w:bCs/>
          <w:kern w:val="0"/>
          <w:szCs w:val="32"/>
        </w:rPr>
        <w:t>表</w:t>
      </w:r>
      <w:r>
        <w:rPr>
          <w:rFonts w:hint="eastAsia" w:eastAsia="仿宋"/>
          <w:b/>
          <w:bCs/>
          <w:kern w:val="0"/>
          <w:szCs w:val="32"/>
          <w:lang w:val="en-US" w:eastAsia="zh-CN"/>
        </w:rPr>
        <w:t>4</w:t>
      </w:r>
      <w:r>
        <w:rPr>
          <w:rFonts w:hint="eastAsia" w:eastAsia="仿宋"/>
          <w:b/>
          <w:bCs/>
          <w:kern w:val="0"/>
          <w:szCs w:val="32"/>
        </w:rPr>
        <w:t>学科竞赛加分标准</w:t>
      </w:r>
    </w:p>
    <w:p w14:paraId="4934490B">
      <w:pPr>
        <w:jc w:val="left"/>
        <w:rPr>
          <w:rFonts w:ascii="仿宋" w:hAnsi="仿宋" w:eastAsia="仿宋" w:cs="仿宋"/>
          <w:sz w:val="28"/>
          <w:szCs w:val="28"/>
        </w:rPr>
      </w:pPr>
    </w:p>
    <w:p w14:paraId="24AC8716">
      <w:pPr>
        <w:ind w:firstLine="560" w:firstLineChars="200"/>
        <w:jc w:val="left"/>
        <w:rPr>
          <w:rFonts w:ascii="仿宋" w:hAnsi="仿宋" w:eastAsia="仿宋" w:cs="仿宋"/>
          <w:sz w:val="28"/>
          <w:szCs w:val="28"/>
        </w:rPr>
      </w:pPr>
      <w:r>
        <w:rPr>
          <w:rFonts w:ascii="仿宋" w:hAnsi="仿宋" w:eastAsia="仿宋" w:cs="仿宋"/>
          <w:sz w:val="28"/>
          <w:szCs w:val="28"/>
        </w:rPr>
        <w:t>(1)负责人按对应等级标准加分，其他成员按对应等级标准的</w:t>
      </w:r>
      <w:r>
        <w:rPr>
          <w:rFonts w:hint="eastAsia" w:ascii="仿宋" w:hAnsi="仿宋" w:eastAsia="仿宋" w:cs="仿宋"/>
          <w:sz w:val="28"/>
          <w:szCs w:val="28"/>
          <w:lang w:val="en-US" w:eastAsia="zh-CN"/>
        </w:rPr>
        <w:t>40</w:t>
      </w:r>
      <w:r>
        <w:rPr>
          <w:rFonts w:ascii="仿宋" w:hAnsi="仿宋" w:eastAsia="仿宋" w:cs="仿宋"/>
          <w:sz w:val="28"/>
          <w:szCs w:val="28"/>
        </w:rPr>
        <w:t>%加分。</w:t>
      </w:r>
    </w:p>
    <w:p w14:paraId="39903091">
      <w:pPr>
        <w:ind w:firstLine="560" w:firstLineChars="200"/>
        <w:jc w:val="left"/>
        <w:rPr>
          <w:rFonts w:ascii="仿宋" w:hAnsi="仿宋" w:eastAsia="仿宋" w:cs="仿宋"/>
          <w:sz w:val="28"/>
          <w:szCs w:val="28"/>
        </w:rPr>
      </w:pPr>
      <w:r>
        <w:rPr>
          <w:rFonts w:ascii="仿宋" w:hAnsi="仿宋" w:eastAsia="仿宋" w:cs="仿宋"/>
          <w:sz w:val="28"/>
          <w:szCs w:val="28"/>
        </w:rPr>
        <w:t>(2)同一竞赛获奖取其最高加分予以奖励，不同竞赛加分可累计</w:t>
      </w:r>
      <w:r>
        <w:rPr>
          <w:rFonts w:hint="eastAsia" w:ascii="仿宋" w:hAnsi="仿宋" w:eastAsia="仿宋" w:cs="仿宋"/>
          <w:sz w:val="28"/>
          <w:szCs w:val="28"/>
        </w:rPr>
        <w:t>。</w:t>
      </w:r>
    </w:p>
    <w:p w14:paraId="162E81A1">
      <w:pPr>
        <w:ind w:firstLine="560" w:firstLineChars="200"/>
        <w:jc w:val="left"/>
        <w:rPr>
          <w:rFonts w:ascii="仿宋" w:hAnsi="仿宋" w:eastAsia="仿宋" w:cs="仿宋"/>
          <w:sz w:val="28"/>
          <w:szCs w:val="28"/>
        </w:rPr>
      </w:pPr>
      <w:r>
        <w:rPr>
          <w:rFonts w:ascii="仿宋" w:hAnsi="仿宋" w:eastAsia="仿宋" w:cs="仿宋"/>
          <w:sz w:val="28"/>
          <w:szCs w:val="28"/>
        </w:rPr>
        <w:t>(3)每项竞赛中设置的最高奖项对应一等奖奖励，其他奖项逐次递减奖励。</w:t>
      </w:r>
    </w:p>
    <w:p w14:paraId="05A041D0">
      <w:pPr>
        <w:ind w:firstLine="560" w:firstLineChars="200"/>
        <w:jc w:val="left"/>
        <w:rPr>
          <w:rFonts w:ascii="仿宋" w:hAnsi="仿宋" w:eastAsia="仿宋" w:cs="仿宋"/>
          <w:sz w:val="28"/>
          <w:szCs w:val="28"/>
        </w:rPr>
      </w:pPr>
      <w:r>
        <w:rPr>
          <w:rFonts w:ascii="仿宋" w:hAnsi="仿宋" w:eastAsia="仿宋" w:cs="仿宋"/>
          <w:sz w:val="28"/>
          <w:szCs w:val="28"/>
        </w:rPr>
        <w:t>(4)按照名次奖励的项目，国家级奖项：第1、2名参照一等奖加分，第3、4、5名参照二等奖加分，第6、7、8名参照三等奖加分。省部级奖项：第1名参照一等奖加分，第2、3名参照二等奖加分，第4、5、6名参照三等奖加分。</w:t>
      </w:r>
    </w:p>
    <w:p w14:paraId="43114879">
      <w:pPr>
        <w:spacing w:line="560" w:lineRule="exact"/>
        <w:ind w:firstLine="562" w:firstLineChars="200"/>
        <w:rPr>
          <w:rFonts w:hint="eastAsia" w:ascii="仿宋" w:hAnsi="仿宋" w:eastAsia="仿宋" w:cs="仿宋"/>
          <w:sz w:val="28"/>
          <w:szCs w:val="28"/>
          <w:lang w:eastAsia="zh-CN"/>
        </w:rPr>
      </w:pPr>
      <w:r>
        <w:rPr>
          <w:rFonts w:hint="eastAsia" w:ascii="仿宋" w:hAnsi="仿宋" w:eastAsia="仿宋" w:cs="仿宋"/>
          <w:b/>
          <w:bCs/>
          <w:sz w:val="28"/>
          <w:szCs w:val="28"/>
        </w:rPr>
        <w:t xml:space="preserve">第十三条 </w:t>
      </w:r>
      <w:r>
        <w:rPr>
          <w:rFonts w:hint="eastAsia" w:ascii="仿宋" w:hAnsi="仿宋" w:eastAsia="仿宋" w:cs="仿宋"/>
          <w:sz w:val="28"/>
          <w:szCs w:val="28"/>
          <w:lang w:val="en-US" w:eastAsia="zh-CN"/>
        </w:rPr>
        <w:t>成绩分</w:t>
      </w:r>
    </w:p>
    <w:p w14:paraId="7E6384D4">
      <w:pPr>
        <w:ind w:firstLine="560" w:firstLineChars="200"/>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成绩分为研究生在考核期内所修读课程的成绩分，分数由研究生信息管理系统自动计算得出。若考核期内没有课程，按照研究生当前成绩分计算。成绩分折算公示：</w:t>
      </w:r>
    </w:p>
    <w:p w14:paraId="3C0D503E">
      <w:pPr>
        <w:ind w:firstLine="560" w:firstLineChars="200"/>
        <w:jc w:val="left"/>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成绩分=</w:t>
      </w:r>
      <w:r>
        <w:rPr>
          <w:rFonts w:hint="eastAsia" w:ascii="仿宋" w:hAnsi="仿宋" w:eastAsia="仿宋" w:cs="仿宋"/>
          <w:color w:val="auto"/>
          <w:position w:val="-26"/>
          <w:sz w:val="28"/>
          <w:szCs w:val="28"/>
          <w:lang w:val="en-US" w:eastAsia="zh-CN"/>
        </w:rPr>
        <w:object>
          <v:shape id="_x0000_i1025" o:spt="75" type="#_x0000_t75" style="height:33pt;width:265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p>
    <w:p w14:paraId="4E1DE1B0">
      <w:pPr>
        <w:numPr>
          <w:ilvl w:val="0"/>
          <w:numId w:val="1"/>
        </w:numPr>
        <w:ind w:firstLine="562" w:firstLineChars="200"/>
        <w:jc w:val="center"/>
        <w:rPr>
          <w:rFonts w:ascii="仿宋" w:hAnsi="仿宋" w:eastAsia="仿宋" w:cs="仿宋"/>
          <w:b/>
          <w:bCs/>
          <w:color w:val="auto"/>
          <w:sz w:val="28"/>
          <w:szCs w:val="28"/>
        </w:rPr>
      </w:pPr>
      <w:r>
        <w:rPr>
          <w:rFonts w:hint="eastAsia" w:ascii="仿宋" w:hAnsi="仿宋" w:eastAsia="仿宋" w:cs="仿宋"/>
          <w:b/>
          <w:bCs/>
          <w:color w:val="auto"/>
          <w:sz w:val="28"/>
          <w:szCs w:val="28"/>
        </w:rPr>
        <w:t xml:space="preserve"> 附 则</w:t>
      </w:r>
    </w:p>
    <w:p w14:paraId="2F935878">
      <w:pPr>
        <w:ind w:firstLine="562" w:firstLineChars="200"/>
        <w:jc w:val="left"/>
        <w:rPr>
          <w:rFonts w:ascii="仿宋" w:hAnsi="仿宋" w:eastAsia="仿宋" w:cs="仿宋"/>
          <w:color w:val="auto"/>
          <w:sz w:val="28"/>
          <w:szCs w:val="28"/>
        </w:rPr>
      </w:pPr>
      <w:r>
        <w:rPr>
          <w:rFonts w:ascii="仿宋" w:hAnsi="仿宋" w:eastAsia="仿宋" w:cs="仿宋"/>
          <w:b/>
          <w:bCs/>
          <w:color w:val="auto"/>
          <w:sz w:val="28"/>
          <w:szCs w:val="28"/>
        </w:rPr>
        <w:t>第十</w:t>
      </w:r>
      <w:r>
        <w:rPr>
          <w:rFonts w:hint="eastAsia" w:ascii="仿宋" w:hAnsi="仿宋" w:eastAsia="仿宋" w:cs="仿宋"/>
          <w:b/>
          <w:bCs/>
          <w:color w:val="auto"/>
          <w:sz w:val="28"/>
          <w:szCs w:val="28"/>
        </w:rPr>
        <w:t>四</w:t>
      </w:r>
      <w:r>
        <w:rPr>
          <w:rFonts w:ascii="仿宋" w:hAnsi="仿宋" w:eastAsia="仿宋" w:cs="仿宋"/>
          <w:b/>
          <w:bCs/>
          <w:color w:val="auto"/>
          <w:sz w:val="28"/>
          <w:szCs w:val="28"/>
        </w:rPr>
        <w:t>条</w:t>
      </w:r>
      <w:r>
        <w:rPr>
          <w:rFonts w:hint="eastAsia" w:ascii="仿宋" w:hAnsi="仿宋" w:eastAsia="仿宋" w:cs="仿宋"/>
          <w:color w:val="auto"/>
          <w:sz w:val="28"/>
          <w:szCs w:val="28"/>
        </w:rPr>
        <w:t xml:space="preserve"> </w:t>
      </w:r>
      <w:r>
        <w:rPr>
          <w:rFonts w:ascii="仿宋" w:hAnsi="仿宋" w:eastAsia="仿宋" w:cs="仿宋"/>
          <w:color w:val="auto"/>
          <w:sz w:val="28"/>
          <w:szCs w:val="28"/>
        </w:rPr>
        <w:t>各项计分需提供相应证明材料，经</w:t>
      </w:r>
      <w:r>
        <w:rPr>
          <w:rFonts w:hint="eastAsia" w:ascii="仿宋" w:hAnsi="仿宋" w:eastAsia="仿宋" w:cs="仿宋"/>
          <w:color w:val="auto"/>
          <w:sz w:val="28"/>
          <w:szCs w:val="28"/>
          <w:lang w:val="en-US" w:eastAsia="zh-CN"/>
        </w:rPr>
        <w:t>学院</w:t>
      </w:r>
      <w:r>
        <w:rPr>
          <w:rFonts w:ascii="仿宋" w:hAnsi="仿宋" w:eastAsia="仿宋" w:cs="仿宋"/>
          <w:color w:val="auto"/>
          <w:sz w:val="28"/>
          <w:szCs w:val="28"/>
        </w:rPr>
        <w:t>认定后方可加分。</w:t>
      </w:r>
    </w:p>
    <w:p w14:paraId="0A163F84">
      <w:pPr>
        <w:ind w:firstLine="562" w:firstLineChars="200"/>
        <w:jc w:val="left"/>
        <w:rPr>
          <w:rFonts w:hint="eastAsia" w:ascii="仿宋" w:hAnsi="仿宋" w:eastAsia="仿宋" w:cs="仿宋"/>
          <w:color w:val="auto"/>
          <w:sz w:val="28"/>
          <w:szCs w:val="28"/>
          <w:lang w:val="en-US" w:eastAsia="zh-CN"/>
        </w:rPr>
      </w:pPr>
      <w:r>
        <w:rPr>
          <w:rFonts w:ascii="仿宋" w:hAnsi="仿宋" w:eastAsia="仿宋" w:cs="仿宋"/>
          <w:b/>
          <w:bCs/>
          <w:color w:val="auto"/>
          <w:sz w:val="28"/>
          <w:szCs w:val="28"/>
        </w:rPr>
        <w:t>第十</w:t>
      </w:r>
      <w:r>
        <w:rPr>
          <w:rFonts w:hint="eastAsia" w:ascii="仿宋" w:hAnsi="仿宋" w:eastAsia="仿宋" w:cs="仿宋"/>
          <w:b/>
          <w:bCs/>
          <w:color w:val="auto"/>
          <w:sz w:val="28"/>
          <w:szCs w:val="28"/>
        </w:rPr>
        <w:t>五</w:t>
      </w:r>
      <w:r>
        <w:rPr>
          <w:rFonts w:ascii="仿宋" w:hAnsi="仿宋" w:eastAsia="仿宋" w:cs="仿宋"/>
          <w:b/>
          <w:bCs/>
          <w:color w:val="auto"/>
          <w:sz w:val="28"/>
          <w:szCs w:val="28"/>
        </w:rPr>
        <w:t>条</w:t>
      </w:r>
      <w:r>
        <w:rPr>
          <w:rFonts w:hint="eastAsia" w:ascii="仿宋" w:hAnsi="仿宋" w:eastAsia="仿宋" w:cs="仿宋"/>
          <w:color w:val="auto"/>
          <w:sz w:val="28"/>
          <w:szCs w:val="28"/>
        </w:rPr>
        <w:t xml:space="preserve"> 结合研究生</w:t>
      </w:r>
      <w:r>
        <w:rPr>
          <w:rFonts w:hint="eastAsia" w:ascii="仿宋" w:hAnsi="仿宋" w:eastAsia="仿宋" w:cs="仿宋"/>
          <w:color w:val="auto"/>
          <w:sz w:val="28"/>
          <w:szCs w:val="28"/>
          <w:lang w:val="en-US" w:eastAsia="zh-CN"/>
        </w:rPr>
        <w:t>助研考核总分</w:t>
      </w:r>
      <w:r>
        <w:rPr>
          <w:rFonts w:hint="eastAsia" w:ascii="仿宋" w:hAnsi="仿宋" w:eastAsia="仿宋" w:cs="仿宋"/>
          <w:color w:val="auto"/>
          <w:sz w:val="28"/>
          <w:szCs w:val="28"/>
        </w:rPr>
        <w:t>，各学位点按照认定为“优秀”的助研研究生人数要求不多于学位点考核人数的60%，考核结果认定为“良好”的助研研究生人数要求不多于学位点考核人数的25%。</w:t>
      </w:r>
      <w:r>
        <w:rPr>
          <w:rFonts w:hint="eastAsia" w:ascii="仿宋" w:hAnsi="仿宋" w:eastAsia="仿宋" w:cs="仿宋"/>
          <w:color w:val="auto"/>
          <w:sz w:val="28"/>
          <w:szCs w:val="28"/>
          <w:lang w:val="en-US" w:eastAsia="zh-CN"/>
        </w:rPr>
        <w:t>得分相同者，按照科研分、学科竞赛分、成绩分排序。</w:t>
      </w:r>
    </w:p>
    <w:p w14:paraId="311F120E">
      <w:pPr>
        <w:ind w:firstLine="562" w:firstLineChars="200"/>
        <w:jc w:val="left"/>
        <w:rPr>
          <w:rFonts w:hint="default"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 xml:space="preserve">第十六条 </w:t>
      </w:r>
      <w:r>
        <w:rPr>
          <w:rFonts w:hint="eastAsia" w:ascii="仿宋" w:hAnsi="仿宋" w:eastAsia="仿宋" w:cs="仿宋"/>
          <w:color w:val="auto"/>
          <w:sz w:val="28"/>
          <w:szCs w:val="28"/>
          <w:lang w:val="en-US" w:eastAsia="zh-CN"/>
        </w:rPr>
        <w:t>每学期聘期结束的学生，需参加每年3月份的学院考核，成果取得时间为9月1日-次年2月底；每学年聘期结束的学生，需参加每年9月份的学院考核，成果取得时间为9月1日-次年8月31日。</w:t>
      </w:r>
    </w:p>
    <w:p w14:paraId="5AC379A8">
      <w:pPr>
        <w:ind w:firstLine="562" w:firstLineChars="200"/>
        <w:jc w:val="left"/>
        <w:rPr>
          <w:rFonts w:hint="default" w:ascii="仿宋" w:hAnsi="仿宋" w:eastAsia="仿宋" w:cs="仿宋"/>
          <w:color w:val="auto"/>
          <w:sz w:val="28"/>
          <w:szCs w:val="28"/>
          <w:lang w:val="en-US" w:eastAsia="zh-CN"/>
        </w:rPr>
      </w:pPr>
      <w:r>
        <w:rPr>
          <w:rFonts w:ascii="仿宋" w:hAnsi="仿宋" w:eastAsia="仿宋" w:cs="仿宋"/>
          <w:b/>
          <w:bCs/>
          <w:color w:val="auto"/>
          <w:sz w:val="28"/>
          <w:szCs w:val="28"/>
        </w:rPr>
        <w:t>第十</w:t>
      </w:r>
      <w:r>
        <w:rPr>
          <w:rFonts w:hint="eastAsia" w:ascii="仿宋" w:hAnsi="仿宋" w:eastAsia="仿宋" w:cs="仿宋"/>
          <w:b/>
          <w:bCs/>
          <w:color w:val="auto"/>
          <w:sz w:val="28"/>
          <w:szCs w:val="28"/>
          <w:lang w:val="en-US" w:eastAsia="zh-CN"/>
        </w:rPr>
        <w:t>七</w:t>
      </w:r>
      <w:r>
        <w:rPr>
          <w:rFonts w:ascii="仿宋" w:hAnsi="仿宋" w:eastAsia="仿宋" w:cs="仿宋"/>
          <w:b/>
          <w:bCs/>
          <w:color w:val="auto"/>
          <w:sz w:val="28"/>
          <w:szCs w:val="28"/>
        </w:rPr>
        <w:t>条</w:t>
      </w:r>
      <w:r>
        <w:rPr>
          <w:rFonts w:hint="eastAsia" w:ascii="仿宋" w:hAnsi="仿宋" w:eastAsia="仿宋" w:cs="仿宋"/>
          <w:color w:val="auto"/>
          <w:sz w:val="28"/>
          <w:szCs w:val="28"/>
        </w:rPr>
        <w:t xml:space="preserve"> </w:t>
      </w:r>
      <w:r>
        <w:rPr>
          <w:rFonts w:ascii="仿宋" w:hAnsi="仿宋" w:eastAsia="仿宋" w:cs="仿宋"/>
          <w:color w:val="auto"/>
          <w:sz w:val="28"/>
          <w:szCs w:val="28"/>
        </w:rPr>
        <w:t>本办法自</w:t>
      </w:r>
      <w:r>
        <w:rPr>
          <w:rFonts w:hint="eastAsia" w:ascii="仿宋" w:hAnsi="仿宋" w:eastAsia="仿宋" w:cs="仿宋"/>
          <w:color w:val="auto"/>
          <w:sz w:val="28"/>
          <w:szCs w:val="28"/>
        </w:rPr>
        <w:t>202</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年</w:t>
      </w:r>
      <w:r>
        <w:rPr>
          <w:rFonts w:ascii="仿宋" w:hAnsi="仿宋" w:eastAsia="仿宋" w:cs="仿宋"/>
          <w:color w:val="auto"/>
          <w:sz w:val="28"/>
          <w:szCs w:val="28"/>
        </w:rPr>
        <w:t>起执行，由</w:t>
      </w:r>
      <w:r>
        <w:rPr>
          <w:rFonts w:hint="eastAsia" w:ascii="仿宋" w:hAnsi="仿宋" w:eastAsia="仿宋" w:cs="仿宋"/>
          <w:color w:val="auto"/>
          <w:sz w:val="28"/>
          <w:szCs w:val="28"/>
        </w:rPr>
        <w:t>学院</w:t>
      </w:r>
      <w:r>
        <w:rPr>
          <w:rFonts w:ascii="仿宋" w:hAnsi="仿宋" w:eastAsia="仿宋" w:cs="仿宋"/>
          <w:color w:val="auto"/>
          <w:sz w:val="28"/>
          <w:szCs w:val="28"/>
        </w:rPr>
        <w:t>负责解释。</w:t>
      </w:r>
      <w:r>
        <w:rPr>
          <w:rFonts w:hint="eastAsia" w:ascii="仿宋" w:hAnsi="仿宋" w:eastAsia="仿宋" w:cs="仿宋"/>
          <w:color w:val="auto"/>
          <w:sz w:val="28"/>
          <w:szCs w:val="28"/>
          <w:lang w:val="en-US" w:eastAsia="zh-CN"/>
        </w:rPr>
        <w:t>原浙江师范大学数学与计算机科学学院研究生助研考核办法（试行）同时废止。</w:t>
      </w:r>
    </w:p>
    <w:sectPr>
      <w:pgSz w:w="11906" w:h="16838"/>
      <w:pgMar w:top="1134" w:right="1417" w:bottom="113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0F9AC410-E12E-4AEF-B137-157D6FE07153}"/>
  </w:font>
  <w:font w:name="方正小标宋简体">
    <w:panose1 w:val="02000000000000000000"/>
    <w:charset w:val="86"/>
    <w:family w:val="auto"/>
    <w:pitch w:val="default"/>
    <w:sig w:usb0="00000001" w:usb1="08000000" w:usb2="00000000" w:usb3="00000000" w:csb0="00040000" w:csb1="00000000"/>
    <w:embedRegular r:id="rId2" w:fontKey="{DBB542B7-88C6-4DD0-AEDF-CAC4FF1370F9}"/>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E1A64E"/>
    <w:multiLevelType w:val="singleLevel"/>
    <w:tmpl w:val="D2E1A64E"/>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NiYThmZjM1MDBkOTRkNDQzMGUxMjQ5MzBiMjgyNGUifQ=="/>
  </w:docVars>
  <w:rsids>
    <w:rsidRoot w:val="4AC8002C"/>
    <w:rsid w:val="000375F5"/>
    <w:rsid w:val="000C1C94"/>
    <w:rsid w:val="00713F82"/>
    <w:rsid w:val="009A53C5"/>
    <w:rsid w:val="00DB3F15"/>
    <w:rsid w:val="00DF7D3C"/>
    <w:rsid w:val="0FC94331"/>
    <w:rsid w:val="1CC814D1"/>
    <w:rsid w:val="21B1268F"/>
    <w:rsid w:val="22724F27"/>
    <w:rsid w:val="26D06DFC"/>
    <w:rsid w:val="2F0B03AA"/>
    <w:rsid w:val="2F6B708C"/>
    <w:rsid w:val="370A5EE7"/>
    <w:rsid w:val="3CE86C1E"/>
    <w:rsid w:val="3FB43503"/>
    <w:rsid w:val="444B7E15"/>
    <w:rsid w:val="461126A0"/>
    <w:rsid w:val="461C71D3"/>
    <w:rsid w:val="4A5B52F4"/>
    <w:rsid w:val="4AC8002C"/>
    <w:rsid w:val="5BEB7F91"/>
    <w:rsid w:val="64465512"/>
    <w:rsid w:val="673E187F"/>
    <w:rsid w:val="6B4A21A8"/>
    <w:rsid w:val="722D1D1E"/>
    <w:rsid w:val="76002857"/>
    <w:rsid w:val="76A43BA2"/>
    <w:rsid w:val="78BC1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widowControl/>
      <w:spacing w:line="560" w:lineRule="exact"/>
      <w:ind w:firstLine="628" w:firstLineChars="200"/>
    </w:pPr>
    <w:rPr>
      <w:rFonts w:eastAsia="仿宋"/>
      <w:bCs/>
      <w:kern w:val="0"/>
      <w:szCs w:val="32"/>
    </w:rPr>
  </w:style>
  <w:style w:type="paragraph" w:styleId="3">
    <w:name w:val="Normal (Web)"/>
    <w:basedOn w:val="1"/>
    <w:qFormat/>
    <w:uiPriority w:val="0"/>
    <w:pPr>
      <w:spacing w:beforeAutospacing="1" w:afterAutospacing="1"/>
      <w:jc w:val="left"/>
    </w:pPr>
    <w:rPr>
      <w:rFonts w:cs="Times New Roman"/>
      <w:kern w:val="0"/>
      <w:sz w:val="24"/>
    </w:rPr>
  </w:style>
  <w:style w:type="paragraph" w:styleId="4">
    <w:name w:val="Title"/>
    <w:basedOn w:val="1"/>
    <w:next w:val="1"/>
    <w:qFormat/>
    <w:uiPriority w:val="10"/>
    <w:pPr>
      <w:spacing w:line="0" w:lineRule="atLeast"/>
      <w:jc w:val="center"/>
    </w:pPr>
    <w:rPr>
      <w:rFonts w:ascii="Arial" w:hAnsi="Arial" w:eastAsia="黑体"/>
      <w:sz w:val="52"/>
      <w:szCs w:val="52"/>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2948</Words>
  <Characters>3036</Characters>
  <Lines>22</Lines>
  <Paragraphs>6</Paragraphs>
  <TotalTime>120</TotalTime>
  <ScaleCrop>false</ScaleCrop>
  <LinksUpToDate>false</LinksUpToDate>
  <CharactersWithSpaces>3061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2021-01-26T05:34:00Z</dcterms:created>
  <dc:creator>鲍旭东</dc:creator>
  <cp:lastModifiedBy>鲍旭东</cp:lastModifiedBy>
  <cp:lastPrinted>2022-02-24T01:55:00Z</cp:lastPrinted>
  <dcterms:modified xsi:type="dcterms:W3CDTF">2025-02-19T01:39:10Z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A21C701CC383427680954B5A29B6E453_13</vt:lpwstr>
  </property>
</Properties>
</file>